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AA" w:rsidRPr="00AB2E9C" w:rsidRDefault="00EA76AA" w:rsidP="00FC7436">
      <w:pPr>
        <w:tabs>
          <w:tab w:val="left" w:pos="2835"/>
          <w:tab w:val="left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015CF1" w:rsidRPr="00AB2E9C" w:rsidRDefault="008129E1" w:rsidP="00CD58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E24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bookmarkStart w:id="0" w:name="_GoBack"/>
      <w:bookmarkEnd w:id="0"/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7141C1" w:rsidRPr="00CD5870" w:rsidRDefault="00DF05FF" w:rsidP="00CD58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B2E9C" w:rsidRPr="00AB2E9C">
        <w:rPr>
          <w:rFonts w:ascii="Times New Roman" w:eastAsia="Calibri" w:hAnsi="Times New Roman" w:cs="Times New Roman"/>
          <w:sz w:val="16"/>
          <w:szCs w:val="16"/>
        </w:rPr>
        <w:t>Declarar de interés Legislativo, Social, Cultural, Municipal y Educativo Al Museo “Madres de Malvinas” - Juella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D5870" w:rsidRDefault="00CD5870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072D" w:rsidRPr="00AB2E9C" w:rsidRDefault="00E040B2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B2E9C" w:rsidRDefault="00AB2E9C" w:rsidP="00AB2E9C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Pr="00AB2E9C">
        <w:rPr>
          <w:rFonts w:ascii="Times New Roman" w:eastAsia="Calibri" w:hAnsi="Times New Roman" w:cs="Times New Roman"/>
          <w:sz w:val="24"/>
          <w:szCs w:val="24"/>
        </w:rPr>
        <w:t>ciudad de Tilcara fue declarada Capital de los museos en el año 2003, según Ordenanza 30/03, por la gran cantidad de museos existentes que conservan viva nuestra cultura, los patrimonios culturales y la historia provincial y nacional de nuestro país.</w:t>
      </w:r>
    </w:p>
    <w:p w:rsidR="00A1072D" w:rsidRPr="0013318C" w:rsidRDefault="00111D7A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L</w:t>
      </w:r>
      <w:r w:rsidR="00314FC4" w:rsidRPr="00AB2E9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B462F" w:rsidRPr="00AB2E9C">
        <w:rPr>
          <w:rFonts w:ascii="Times New Roman" w:eastAsia="Calibri" w:hAnsi="Times New Roman" w:cs="Times New Roman"/>
          <w:sz w:val="24"/>
          <w:szCs w:val="24"/>
        </w:rPr>
        <w:t xml:space="preserve"> Ley Orgánica de los Municipios Nº 4466/89</w:t>
      </w:r>
      <w:r w:rsidR="00361267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artículo 103</w:t>
      </w:r>
      <w:r w:rsidR="00314FC4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7CAB" w:rsidRPr="00AB2E9C">
        <w:rPr>
          <w:rFonts w:ascii="Times New Roman" w:eastAsia="Calibri" w:hAnsi="Times New Roman" w:cs="Times New Roman"/>
          <w:sz w:val="24"/>
          <w:szCs w:val="24"/>
        </w:rPr>
        <w:t xml:space="preserve">y Reglamento  </w:t>
      </w:r>
      <w:r w:rsidR="00314FC4" w:rsidRPr="00AB2E9C">
        <w:rPr>
          <w:rFonts w:ascii="Times New Roman" w:eastAsia="Calibri" w:hAnsi="Times New Roman" w:cs="Times New Roman"/>
          <w:sz w:val="24"/>
          <w:szCs w:val="24"/>
        </w:rPr>
        <w:t>interno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210A5" w:rsidRPr="00AB2E9C">
        <w:rPr>
          <w:rFonts w:ascii="Times New Roman" w:hAnsi="Times New Roman" w:cs="Times New Roman"/>
          <w:sz w:val="24"/>
          <w:szCs w:val="24"/>
        </w:rPr>
        <w:t>Y</w:t>
      </w:r>
      <w:r w:rsidR="009B3885" w:rsidRPr="00AB2E9C">
        <w:rPr>
          <w:rFonts w:ascii="Times New Roman" w:hAnsi="Times New Roman" w:cs="Times New Roman"/>
          <w:sz w:val="24"/>
          <w:szCs w:val="24"/>
        </w:rPr>
        <w:t>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E9C" w:rsidRPr="00AB2E9C" w:rsidRDefault="00AB2E9C" w:rsidP="00AB2E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Que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el Museo “Madres de Malvinas”  (Nombre colocado en homenaje a todas las madres de los veteranos que entregaron sus hijos a la Patria)</w:t>
      </w:r>
      <w:r w:rsidR="0013318C">
        <w:rPr>
          <w:rFonts w:ascii="Times New Roman" w:eastAsia="Calibri" w:hAnsi="Times New Roman" w:cs="Times New Roman"/>
          <w:sz w:val="24"/>
          <w:szCs w:val="24"/>
        </w:rPr>
        <w:t>,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está ubicado en </w:t>
      </w:r>
      <w:r w:rsidR="0013318C" w:rsidRPr="00AB2E9C">
        <w:rPr>
          <w:rFonts w:ascii="Times New Roman" w:eastAsia="Calibri" w:hAnsi="Times New Roman" w:cs="Times New Roman"/>
          <w:sz w:val="24"/>
          <w:szCs w:val="24"/>
        </w:rPr>
        <w:t>Antigüito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Chico Juella, localidad de Tilcara, en la propiedad del Sr. Nicolás </w:t>
      </w:r>
      <w:proofErr w:type="spellStart"/>
      <w:r w:rsidRPr="00AB2E9C">
        <w:rPr>
          <w:rFonts w:ascii="Times New Roman" w:eastAsia="Calibri" w:hAnsi="Times New Roman" w:cs="Times New Roman"/>
          <w:sz w:val="24"/>
          <w:szCs w:val="24"/>
        </w:rPr>
        <w:t>Toconás</w:t>
      </w:r>
      <w:proofErr w:type="spellEnd"/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V.G.M guarda y conserva los sucesos históricos sobre la Guerra de Malvinas presentando fotos,  libros, maquetas, figuras, cuadros fotográficos y elementos usados en dicho combate bélico. </w:t>
      </w:r>
    </w:p>
    <w:p w:rsidR="00A1072D" w:rsidRPr="00AB2E9C" w:rsidRDefault="00AB2E9C" w:rsidP="00AB2E9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Que</w:t>
      </w:r>
      <w:r w:rsidR="0013318C">
        <w:rPr>
          <w:rFonts w:ascii="Times New Roman" w:eastAsia="Calibri" w:hAnsi="Times New Roman" w:cs="Times New Roman"/>
          <w:sz w:val="24"/>
          <w:szCs w:val="24"/>
        </w:rPr>
        <w:t>,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funciona desde el año 2016 contribuyendo a  comprender mejor la historia de la Guerra de Malvinas  a  estudiantes, vecinos y público en general que visitan el Museo.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Q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ue el mismo, requiere importancia por la visita de periodistas británicos de la página “El Guardián”, periodistas del diario El Tribuno de Jujuy, Canal 7 de Jujuy, Canal 13 de Buenos Aires, del periodista Mario </w:t>
      </w:r>
      <w:proofErr w:type="spellStart"/>
      <w:r w:rsidRPr="00AB2E9C">
        <w:rPr>
          <w:rFonts w:ascii="Times New Roman" w:eastAsia="Calibri" w:hAnsi="Times New Roman" w:cs="Times New Roman"/>
          <w:sz w:val="24"/>
          <w:szCs w:val="24"/>
        </w:rPr>
        <w:t>Massaccesi</w:t>
      </w:r>
      <w:proofErr w:type="spellEnd"/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y de veteranos de Guerra de todo el país. </w:t>
      </w:r>
      <w:r w:rsidR="00DB0F72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AB2E9C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E9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AB2E9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AB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AB2E9C">
        <w:rPr>
          <w:rFonts w:ascii="Times New Roman" w:hAnsi="Times New Roman" w:cs="Times New Roman"/>
          <w:b/>
          <w:sz w:val="24"/>
          <w:szCs w:val="24"/>
        </w:rPr>
        <w:t>0</w:t>
      </w:r>
      <w:r w:rsidR="00AB2E9C">
        <w:rPr>
          <w:rFonts w:ascii="Times New Roman" w:hAnsi="Times New Roman" w:cs="Times New Roman"/>
          <w:b/>
          <w:sz w:val="24"/>
          <w:szCs w:val="24"/>
        </w:rPr>
        <w:t>2</w:t>
      </w:r>
      <w:r w:rsidR="00B4301F" w:rsidRPr="00AB2E9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AB2E9C">
        <w:rPr>
          <w:rFonts w:ascii="Times New Roman" w:hAnsi="Times New Roman" w:cs="Times New Roman"/>
          <w:b/>
          <w:sz w:val="24"/>
          <w:szCs w:val="24"/>
        </w:rPr>
        <w:t>2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FC" w:rsidRPr="00AB2E9C" w:rsidRDefault="00911BE3" w:rsidP="00AF2B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Nº 1</w:t>
      </w:r>
      <w:r w:rsidR="0013318C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52342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 xml:space="preserve">Declárese </w:t>
      </w:r>
      <w:r w:rsidR="0013318C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13318C">
        <w:rPr>
          <w:rFonts w:ascii="Times New Roman" w:eastAsia="Calibri" w:hAnsi="Times New Roman" w:cs="Times New Roman"/>
          <w:sz w:val="24"/>
          <w:szCs w:val="24"/>
        </w:rPr>
        <w:t>I</w:t>
      </w:r>
      <w:r w:rsidR="0013318C" w:rsidRPr="00AB2E9C">
        <w:rPr>
          <w:rFonts w:ascii="Times New Roman" w:eastAsia="Calibri" w:hAnsi="Times New Roman" w:cs="Times New Roman"/>
          <w:sz w:val="24"/>
          <w:szCs w:val="24"/>
        </w:rPr>
        <w:t>nterés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 xml:space="preserve"> Legislativo, Social, Cultural, Municipal y Educativo al MUSEO “MADRES DE MALVINAS”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 xml:space="preserve">de la localidad de </w:t>
      </w:r>
      <w:r w:rsidR="0013318C">
        <w:rPr>
          <w:rFonts w:ascii="Times New Roman" w:eastAsia="Calibri" w:hAnsi="Times New Roman" w:cs="Times New Roman"/>
          <w:sz w:val="24"/>
          <w:szCs w:val="24"/>
        </w:rPr>
        <w:t>Juella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 xml:space="preserve"> por mantener y conservar los hechos históricos sobre la Guerra de Malvinas.</w:t>
      </w:r>
    </w:p>
    <w:p w:rsidR="0013318C" w:rsidRDefault="0013318C" w:rsidP="00BA04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318C">
        <w:rPr>
          <w:rFonts w:ascii="Times New Roman" w:eastAsia="Calibri" w:hAnsi="Times New Roman" w:cs="Times New Roman"/>
          <w:sz w:val="24"/>
          <w:szCs w:val="24"/>
        </w:rPr>
        <w:t>Comuníquese a 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Dirección</w:t>
      </w:r>
      <w:r w:rsidRPr="0013318C">
        <w:rPr>
          <w:rFonts w:ascii="Times New Roman" w:eastAsia="Calibri" w:hAnsi="Times New Roman" w:cs="Times New Roman"/>
          <w:sz w:val="24"/>
          <w:szCs w:val="24"/>
        </w:rPr>
        <w:t xml:space="preserve"> de Cultura y </w:t>
      </w:r>
      <w:r w:rsidR="00CD5870">
        <w:rPr>
          <w:rFonts w:ascii="Times New Roman" w:eastAsia="Calibri" w:hAnsi="Times New Roman" w:cs="Times New Roman"/>
          <w:sz w:val="24"/>
          <w:szCs w:val="24"/>
        </w:rPr>
        <w:t xml:space="preserve">Secretaria de Turismo </w:t>
      </w:r>
      <w:r w:rsidRPr="0013318C">
        <w:rPr>
          <w:rFonts w:ascii="Times New Roman" w:eastAsia="Calibri" w:hAnsi="Times New Roman" w:cs="Times New Roman"/>
          <w:sz w:val="24"/>
          <w:szCs w:val="24"/>
        </w:rPr>
        <w:t>de la Municipalidad de Tilcara.</w:t>
      </w:r>
    </w:p>
    <w:p w:rsidR="0013318C" w:rsidRPr="00CD5870" w:rsidRDefault="0013318C" w:rsidP="00BA04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Artículo N° 3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318C">
        <w:rPr>
          <w:rFonts w:ascii="Times New Roman" w:eastAsia="Calibri" w:hAnsi="Times New Roman" w:cs="Times New Roman"/>
          <w:sz w:val="24"/>
          <w:szCs w:val="24"/>
        </w:rPr>
        <w:t>Difúndase por los diferentes medios de comunicación local para conocimiento de toda la comunidad.</w:t>
      </w:r>
    </w:p>
    <w:p w:rsidR="0013318C" w:rsidRDefault="0013318C" w:rsidP="00BA04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Artículo N° 4</w:t>
      </w:r>
      <w:r w:rsidR="00467BCF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3318C">
        <w:rPr>
          <w:rFonts w:ascii="Times New Roman" w:eastAsia="Calibri" w:hAnsi="Times New Roman" w:cs="Times New Roman"/>
          <w:sz w:val="24"/>
          <w:szCs w:val="24"/>
        </w:rPr>
        <w:t xml:space="preserve">Remítase copia al Ejecutivo Municipal, Biblioteca Popular, Museos y </w:t>
      </w:r>
      <w:r w:rsidR="00CD5870">
        <w:rPr>
          <w:rFonts w:ascii="Times New Roman" w:eastAsia="Calibri" w:hAnsi="Times New Roman" w:cs="Times New Roman"/>
          <w:sz w:val="24"/>
          <w:szCs w:val="24"/>
        </w:rPr>
        <w:t xml:space="preserve">centros Educativos de todos los niveles de la </w:t>
      </w:r>
      <w:r w:rsidRPr="0013318C">
        <w:rPr>
          <w:rFonts w:ascii="Times New Roman" w:eastAsia="Calibri" w:hAnsi="Times New Roman" w:cs="Times New Roman"/>
          <w:sz w:val="24"/>
          <w:szCs w:val="24"/>
        </w:rPr>
        <w:t>ciudad de Tilcara.</w:t>
      </w:r>
    </w:p>
    <w:p w:rsidR="00D9147C" w:rsidRPr="00AB2E9C" w:rsidRDefault="0013318C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Artículo N° 5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B2E9C">
        <w:rPr>
          <w:rFonts w:ascii="Times New Roman" w:eastAsia="Calibri" w:hAnsi="Times New Roman" w:cs="Times New Roman"/>
          <w:sz w:val="24"/>
          <w:szCs w:val="24"/>
        </w:rPr>
        <w:t>De forma y demás efectos.</w:t>
      </w:r>
      <w:r w:rsidR="00361267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47C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B2E9C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27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abril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B2E9C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60" w:rsidRDefault="00453060" w:rsidP="007B462F">
      <w:pPr>
        <w:spacing w:after="0" w:line="240" w:lineRule="auto"/>
      </w:pPr>
      <w:r>
        <w:separator/>
      </w:r>
    </w:p>
  </w:endnote>
  <w:endnote w:type="continuationSeparator" w:id="0">
    <w:p w:rsidR="00453060" w:rsidRDefault="00453060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60" w:rsidRDefault="00453060" w:rsidP="007B462F">
      <w:pPr>
        <w:spacing w:after="0" w:line="240" w:lineRule="auto"/>
      </w:pPr>
      <w:r>
        <w:separator/>
      </w:r>
    </w:p>
  </w:footnote>
  <w:footnote w:type="continuationSeparator" w:id="0">
    <w:p w:rsidR="00453060" w:rsidRDefault="00453060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A3A"/>
    <w:rsid w:val="00061BDB"/>
    <w:rsid w:val="00070B2A"/>
    <w:rsid w:val="00087F01"/>
    <w:rsid w:val="000B0F43"/>
    <w:rsid w:val="000C14C2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51B43"/>
    <w:rsid w:val="0025307B"/>
    <w:rsid w:val="002577A5"/>
    <w:rsid w:val="002A2A90"/>
    <w:rsid w:val="002A6115"/>
    <w:rsid w:val="002C27DB"/>
    <w:rsid w:val="002E0641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53060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612D28"/>
    <w:rsid w:val="006210A5"/>
    <w:rsid w:val="0062446A"/>
    <w:rsid w:val="006643DC"/>
    <w:rsid w:val="00672E0E"/>
    <w:rsid w:val="006775E9"/>
    <w:rsid w:val="00685988"/>
    <w:rsid w:val="006A30CB"/>
    <w:rsid w:val="006A7F2A"/>
    <w:rsid w:val="006E7EE8"/>
    <w:rsid w:val="00702A71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BE3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84F45"/>
    <w:rsid w:val="00BA045B"/>
    <w:rsid w:val="00BC534A"/>
    <w:rsid w:val="00C2128F"/>
    <w:rsid w:val="00C42218"/>
    <w:rsid w:val="00C545AE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54113"/>
    <w:rsid w:val="00E54AEE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5BCD9-FEAE-499F-A046-55EB273A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6</cp:revision>
  <cp:lastPrinted>2022-04-26T11:44:00Z</cp:lastPrinted>
  <dcterms:created xsi:type="dcterms:W3CDTF">2022-05-20T12:19:00Z</dcterms:created>
  <dcterms:modified xsi:type="dcterms:W3CDTF">2022-05-20T12:49:00Z</dcterms:modified>
</cp:coreProperties>
</file>