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1D8F" w14:textId="67EEC068" w:rsidR="003A1821" w:rsidRPr="00AF5C76" w:rsidRDefault="00EB7ACD" w:rsidP="00AF5C76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C76">
        <w:rPr>
          <w:rFonts w:ascii="Times New Roman" w:hAnsi="Times New Roman" w:cs="Times New Roman"/>
          <w:b/>
          <w:sz w:val="28"/>
          <w:szCs w:val="28"/>
          <w:u w:val="single"/>
        </w:rPr>
        <w:t>MINUTA DE COMUNICACIÓN Nº</w:t>
      </w:r>
      <w:r w:rsidR="00187B56" w:rsidRPr="00AF5C76">
        <w:rPr>
          <w:rFonts w:ascii="Times New Roman" w:hAnsi="Times New Roman" w:cs="Times New Roman"/>
          <w:b/>
          <w:sz w:val="28"/>
          <w:szCs w:val="28"/>
          <w:u w:val="single"/>
        </w:rPr>
        <w:t>34/2024-CDT-</w:t>
      </w:r>
    </w:p>
    <w:p w14:paraId="4D583790" w14:textId="77777777" w:rsidR="00AF5C76" w:rsidRPr="00AF5C76" w:rsidRDefault="00AF5C76" w:rsidP="00AF5C76">
      <w:pPr>
        <w:pStyle w:val="Sinespaciado"/>
        <w:rPr>
          <w:rFonts w:ascii="Times New Roman" w:hAnsi="Times New Roman" w:cs="Times New Roman"/>
          <w:b/>
          <w:sz w:val="16"/>
          <w:szCs w:val="16"/>
        </w:rPr>
      </w:pPr>
    </w:p>
    <w:p w14:paraId="1C04AC17" w14:textId="03685063" w:rsidR="003A1821" w:rsidRPr="00AF5C76" w:rsidRDefault="00823634" w:rsidP="00AF5C76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AF5C76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EB7ACD" w:rsidRPr="00AF5C76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EB7ACD" w:rsidRPr="00AF5C7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F5C76">
        <w:rPr>
          <w:rFonts w:ascii="Times New Roman" w:hAnsi="Times New Roman" w:cs="Times New Roman"/>
          <w:b/>
          <w:sz w:val="20"/>
          <w:szCs w:val="20"/>
        </w:rPr>
        <w:t xml:space="preserve">Cumplimiento </w:t>
      </w:r>
      <w:r w:rsidR="009B1CC5" w:rsidRPr="00AF5C76">
        <w:rPr>
          <w:rFonts w:ascii="Times New Roman" w:hAnsi="Times New Roman" w:cs="Times New Roman"/>
          <w:b/>
          <w:sz w:val="20"/>
          <w:szCs w:val="20"/>
        </w:rPr>
        <w:t xml:space="preserve">de la </w:t>
      </w:r>
      <w:r w:rsidRPr="00AF5C76">
        <w:rPr>
          <w:rFonts w:ascii="Times New Roman" w:hAnsi="Times New Roman" w:cs="Times New Roman"/>
          <w:b/>
          <w:sz w:val="20"/>
          <w:szCs w:val="20"/>
        </w:rPr>
        <w:t>O</w:t>
      </w:r>
      <w:r w:rsidR="003A1821" w:rsidRPr="00AF5C76">
        <w:rPr>
          <w:rFonts w:ascii="Times New Roman" w:hAnsi="Times New Roman" w:cs="Times New Roman"/>
          <w:b/>
          <w:sz w:val="20"/>
          <w:szCs w:val="20"/>
        </w:rPr>
        <w:t>rdenanza Nº1</w:t>
      </w:r>
      <w:r w:rsidR="00187B56" w:rsidRPr="00AF5C76">
        <w:rPr>
          <w:rFonts w:ascii="Times New Roman" w:hAnsi="Times New Roman" w:cs="Times New Roman"/>
          <w:b/>
          <w:sz w:val="20"/>
          <w:szCs w:val="20"/>
        </w:rPr>
        <w:t xml:space="preserve">1/02 Ref., Acto del 2 de </w:t>
      </w:r>
      <w:proofErr w:type="gramStart"/>
      <w:r w:rsidR="00187B56" w:rsidRPr="00AF5C76">
        <w:rPr>
          <w:rFonts w:ascii="Times New Roman" w:hAnsi="Times New Roman" w:cs="Times New Roman"/>
          <w:b/>
          <w:sz w:val="20"/>
          <w:szCs w:val="20"/>
        </w:rPr>
        <w:t>Mayo</w:t>
      </w:r>
      <w:proofErr w:type="gramEnd"/>
      <w:r w:rsidR="00187B56" w:rsidRPr="00AF5C76">
        <w:rPr>
          <w:rFonts w:ascii="Times New Roman" w:hAnsi="Times New Roman" w:cs="Times New Roman"/>
          <w:b/>
          <w:sz w:val="20"/>
          <w:szCs w:val="20"/>
        </w:rPr>
        <w:t xml:space="preserve"> “Hundimiento del ARA </w:t>
      </w:r>
      <w:proofErr w:type="spellStart"/>
      <w:r w:rsidR="00187B56" w:rsidRPr="00AF5C76">
        <w:rPr>
          <w:rFonts w:ascii="Times New Roman" w:hAnsi="Times New Roman" w:cs="Times New Roman"/>
          <w:b/>
          <w:sz w:val="20"/>
          <w:szCs w:val="20"/>
        </w:rPr>
        <w:t>Gr</w:t>
      </w:r>
      <w:r w:rsidR="009B1CC5" w:rsidRPr="00AF5C76">
        <w:rPr>
          <w:rFonts w:ascii="Times New Roman" w:hAnsi="Times New Roman" w:cs="Times New Roman"/>
          <w:b/>
          <w:sz w:val="20"/>
          <w:szCs w:val="20"/>
        </w:rPr>
        <w:t>al</w:t>
      </w:r>
      <w:proofErr w:type="spellEnd"/>
      <w:r w:rsidR="009B1CC5" w:rsidRPr="00AF5C76">
        <w:rPr>
          <w:rFonts w:ascii="Times New Roman" w:hAnsi="Times New Roman" w:cs="Times New Roman"/>
          <w:b/>
          <w:sz w:val="20"/>
          <w:szCs w:val="20"/>
        </w:rPr>
        <w:t xml:space="preserve"> Belgrano y homenaje a los héroes de</w:t>
      </w:r>
      <w:r w:rsidRPr="00AF5C76">
        <w:rPr>
          <w:rFonts w:ascii="Times New Roman" w:hAnsi="Times New Roman" w:cs="Times New Roman"/>
          <w:b/>
          <w:sz w:val="20"/>
          <w:szCs w:val="20"/>
        </w:rPr>
        <w:t xml:space="preserve"> la guerra</w:t>
      </w:r>
      <w:r w:rsidR="00187B56" w:rsidRPr="00AF5C76">
        <w:rPr>
          <w:rFonts w:ascii="Times New Roman" w:hAnsi="Times New Roman" w:cs="Times New Roman"/>
          <w:b/>
          <w:sz w:val="20"/>
          <w:szCs w:val="20"/>
        </w:rPr>
        <w:t xml:space="preserve"> de Malvinas</w:t>
      </w:r>
      <w:r w:rsidRPr="00AF5C76">
        <w:rPr>
          <w:rFonts w:ascii="Times New Roman" w:hAnsi="Times New Roman" w:cs="Times New Roman"/>
          <w:b/>
          <w:sz w:val="20"/>
          <w:szCs w:val="20"/>
        </w:rPr>
        <w:t>”</w:t>
      </w:r>
      <w:r w:rsidR="00187B56" w:rsidRPr="00AF5C76">
        <w:rPr>
          <w:rFonts w:ascii="Times New Roman" w:hAnsi="Times New Roman" w:cs="Times New Roman"/>
          <w:b/>
          <w:sz w:val="20"/>
          <w:szCs w:val="20"/>
        </w:rPr>
        <w:t>, que corresponde a</w:t>
      </w:r>
      <w:r w:rsidRPr="00AF5C76">
        <w:rPr>
          <w:rFonts w:ascii="Times New Roman" w:hAnsi="Times New Roman" w:cs="Times New Roman"/>
          <w:b/>
          <w:sz w:val="20"/>
          <w:szCs w:val="20"/>
        </w:rPr>
        <w:t>l Concejo Deliberante)</w:t>
      </w:r>
    </w:p>
    <w:p w14:paraId="77032C1F" w14:textId="77777777" w:rsidR="00AF5C76" w:rsidRPr="00862715" w:rsidRDefault="00AF5C76" w:rsidP="00EB7ACD">
      <w:pPr>
        <w:spacing w:line="36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451E875A" w14:textId="4C586AB9" w:rsidR="003A1821" w:rsidRPr="00EB7ACD" w:rsidRDefault="003A1821" w:rsidP="00EB7ACD">
      <w:pPr>
        <w:spacing w:line="360" w:lineRule="auto"/>
        <w:rPr>
          <w:rFonts w:ascii="Times New Roman" w:hAnsi="Times New Roman" w:cs="Times New Roman"/>
          <w:b/>
          <w:bCs/>
        </w:rPr>
      </w:pPr>
      <w:r w:rsidRPr="00EB7ACD">
        <w:rPr>
          <w:rFonts w:ascii="Times New Roman" w:hAnsi="Times New Roman" w:cs="Times New Roman"/>
          <w:b/>
          <w:bCs/>
        </w:rPr>
        <w:t>VISTO</w:t>
      </w:r>
      <w:r w:rsidR="00454878">
        <w:rPr>
          <w:rFonts w:ascii="Times New Roman" w:hAnsi="Times New Roman" w:cs="Times New Roman"/>
          <w:b/>
          <w:bCs/>
        </w:rPr>
        <w:t>:</w:t>
      </w:r>
    </w:p>
    <w:p w14:paraId="657286EC" w14:textId="7904A510" w:rsidR="003A1821" w:rsidRPr="00EE7A86" w:rsidRDefault="003A1821" w:rsidP="004B15ED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 xml:space="preserve">Las facultades que confiere la Ley Orgánica de los Municipios 4466/89 articulo N№99 art: 102, </w:t>
      </w:r>
      <w:r w:rsidR="004B15ED" w:rsidRPr="00EE7A86">
        <w:rPr>
          <w:rFonts w:ascii="Times New Roman" w:hAnsi="Times New Roman" w:cs="Times New Roman"/>
          <w:sz w:val="22"/>
          <w:szCs w:val="22"/>
        </w:rPr>
        <w:t>art. 106 y demás artículos del R</w:t>
      </w:r>
      <w:r w:rsidRPr="00EE7A86">
        <w:rPr>
          <w:rFonts w:ascii="Times New Roman" w:hAnsi="Times New Roman" w:cs="Times New Roman"/>
          <w:sz w:val="22"/>
          <w:szCs w:val="22"/>
        </w:rPr>
        <w:t xml:space="preserve">eglamento </w:t>
      </w:r>
      <w:r w:rsidR="004B15ED" w:rsidRPr="00EE7A86">
        <w:rPr>
          <w:rFonts w:ascii="Times New Roman" w:hAnsi="Times New Roman" w:cs="Times New Roman"/>
          <w:sz w:val="22"/>
          <w:szCs w:val="22"/>
        </w:rPr>
        <w:t>I</w:t>
      </w:r>
      <w:r w:rsidRPr="00EE7A86">
        <w:rPr>
          <w:rFonts w:ascii="Times New Roman" w:hAnsi="Times New Roman" w:cs="Times New Roman"/>
          <w:sz w:val="22"/>
          <w:szCs w:val="22"/>
        </w:rPr>
        <w:t>nterno.</w:t>
      </w:r>
    </w:p>
    <w:p w14:paraId="5239C39B" w14:textId="79C0284F" w:rsidR="003A1821" w:rsidRPr="00EB7ACD" w:rsidRDefault="003A1821" w:rsidP="00EB7ACD">
      <w:pPr>
        <w:spacing w:line="360" w:lineRule="auto"/>
        <w:rPr>
          <w:rFonts w:ascii="Times New Roman" w:hAnsi="Times New Roman" w:cs="Times New Roman"/>
          <w:b/>
          <w:bCs/>
        </w:rPr>
      </w:pPr>
      <w:r w:rsidRPr="00EB7ACD">
        <w:rPr>
          <w:rFonts w:ascii="Times New Roman" w:hAnsi="Times New Roman" w:cs="Times New Roman"/>
          <w:b/>
          <w:bCs/>
        </w:rPr>
        <w:t>CONSIDERANDO:</w:t>
      </w:r>
    </w:p>
    <w:p w14:paraId="0703399D" w14:textId="3B5541EB" w:rsidR="003A1821" w:rsidRPr="00EE7A86" w:rsidRDefault="003A1821" w:rsidP="004B1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>Que como era costumbre</w:t>
      </w:r>
      <w:r w:rsidR="00253838" w:rsidRPr="00EE7A86">
        <w:rPr>
          <w:rFonts w:ascii="Times New Roman" w:hAnsi="Times New Roman" w:cs="Times New Roman"/>
          <w:sz w:val="22"/>
          <w:szCs w:val="22"/>
        </w:rPr>
        <w:t>,</w:t>
      </w:r>
      <w:r w:rsidRPr="00EE7A86">
        <w:rPr>
          <w:rFonts w:ascii="Times New Roman" w:hAnsi="Times New Roman" w:cs="Times New Roman"/>
          <w:sz w:val="22"/>
          <w:szCs w:val="22"/>
        </w:rPr>
        <w:t xml:space="preserve"> todos los 2 de mayo, desde hace más de 20 años ininterrumpidos</w:t>
      </w:r>
      <w:r w:rsidR="00253838" w:rsidRPr="00EE7A86">
        <w:rPr>
          <w:rFonts w:ascii="Times New Roman" w:hAnsi="Times New Roman" w:cs="Times New Roman"/>
          <w:sz w:val="22"/>
          <w:szCs w:val="22"/>
        </w:rPr>
        <w:t>,</w:t>
      </w:r>
      <w:r w:rsidRPr="00EE7A86">
        <w:rPr>
          <w:rFonts w:ascii="Times New Roman" w:hAnsi="Times New Roman" w:cs="Times New Roman"/>
          <w:sz w:val="22"/>
          <w:szCs w:val="22"/>
        </w:rPr>
        <w:t xml:space="preserve"> se venía desarrollando este tradicional acto que juntaba a los familiares de nuestros </w:t>
      </w:r>
      <w:r w:rsidR="00253838" w:rsidRPr="00EE7A86">
        <w:rPr>
          <w:rFonts w:ascii="Times New Roman" w:hAnsi="Times New Roman" w:cs="Times New Roman"/>
          <w:sz w:val="22"/>
          <w:szCs w:val="22"/>
        </w:rPr>
        <w:t>HÉROES</w:t>
      </w:r>
      <w:r w:rsidRPr="00EE7A86">
        <w:rPr>
          <w:rFonts w:ascii="Times New Roman" w:hAnsi="Times New Roman" w:cs="Times New Roman"/>
          <w:sz w:val="22"/>
          <w:szCs w:val="22"/>
        </w:rPr>
        <w:t>: Antenor Sajama, Emeterio Condori y Tomas López.</w:t>
      </w:r>
    </w:p>
    <w:p w14:paraId="41C1836B" w14:textId="15C19BE3" w:rsidR="003A1821" w:rsidRPr="00EE7A86" w:rsidRDefault="003A1821" w:rsidP="004B1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>Que la Municipalidad delegaba la responsabilidad al Concejo para dicho agasajo destinando una partida presupuestaria</w:t>
      </w:r>
      <w:r w:rsidR="00C36ED9" w:rsidRPr="00EE7A86">
        <w:rPr>
          <w:rFonts w:ascii="Times New Roman" w:hAnsi="Times New Roman" w:cs="Times New Roman"/>
          <w:sz w:val="22"/>
          <w:szCs w:val="22"/>
        </w:rPr>
        <w:t xml:space="preserve">, de la cual, </w:t>
      </w:r>
      <w:r w:rsidRPr="00EE7A86">
        <w:rPr>
          <w:rFonts w:ascii="Times New Roman" w:hAnsi="Times New Roman" w:cs="Times New Roman"/>
          <w:sz w:val="22"/>
          <w:szCs w:val="22"/>
        </w:rPr>
        <w:t>una vez realizada la misma se hacia la rendición correspondiente de los gastos.</w:t>
      </w:r>
    </w:p>
    <w:p w14:paraId="77B1259E" w14:textId="45CA52BF" w:rsidR="003A1821" w:rsidRPr="00EE7A86" w:rsidRDefault="003A1821" w:rsidP="004B1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>Que este año</w:t>
      </w:r>
      <w:r w:rsidR="001114E9" w:rsidRPr="00EE7A86">
        <w:rPr>
          <w:rFonts w:ascii="Times New Roman" w:hAnsi="Times New Roman" w:cs="Times New Roman"/>
          <w:sz w:val="22"/>
          <w:szCs w:val="22"/>
        </w:rPr>
        <w:t>,</w:t>
      </w:r>
      <w:r w:rsidRPr="00EE7A86">
        <w:rPr>
          <w:rFonts w:ascii="Times New Roman" w:hAnsi="Times New Roman" w:cs="Times New Roman"/>
          <w:sz w:val="22"/>
          <w:szCs w:val="22"/>
        </w:rPr>
        <w:t xml:space="preserve"> por una decisión totalmente arbitraria, soberbia</w:t>
      </w:r>
      <w:r w:rsidR="001114E9" w:rsidRPr="00EE7A86">
        <w:rPr>
          <w:rFonts w:ascii="Times New Roman" w:hAnsi="Times New Roman" w:cs="Times New Roman"/>
          <w:sz w:val="22"/>
          <w:szCs w:val="22"/>
        </w:rPr>
        <w:t xml:space="preserve"> y</w:t>
      </w:r>
      <w:r w:rsidRPr="00EE7A86">
        <w:rPr>
          <w:rFonts w:ascii="Times New Roman" w:hAnsi="Times New Roman" w:cs="Times New Roman"/>
          <w:sz w:val="22"/>
          <w:szCs w:val="22"/>
        </w:rPr>
        <w:t xml:space="preserve"> rompiendo todos los protocolos y lo que estipula nuestro Reglamento Interno</w:t>
      </w:r>
      <w:r w:rsidR="001114E9" w:rsidRPr="00EE7A86">
        <w:rPr>
          <w:rFonts w:ascii="Times New Roman" w:hAnsi="Times New Roman" w:cs="Times New Roman"/>
          <w:sz w:val="22"/>
          <w:szCs w:val="22"/>
        </w:rPr>
        <w:t>, el Ejecutivo decide realizar el acto</w:t>
      </w:r>
      <w:r w:rsidRPr="00EE7A86">
        <w:rPr>
          <w:rFonts w:ascii="Times New Roman" w:hAnsi="Times New Roman" w:cs="Times New Roman"/>
          <w:sz w:val="22"/>
          <w:szCs w:val="22"/>
        </w:rPr>
        <w:t>.</w:t>
      </w:r>
    </w:p>
    <w:p w14:paraId="4452A54C" w14:textId="5EF9B7BE" w:rsidR="003A1821" w:rsidRPr="00EE7A86" w:rsidRDefault="003A1821" w:rsidP="004B1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>Que este acto lo realizaban los concejales con mucho entusiasmo, con mucho compromiso dejando las banderías políticas de lado</w:t>
      </w:r>
      <w:r w:rsidR="001114E9" w:rsidRPr="00EE7A86">
        <w:rPr>
          <w:rFonts w:ascii="Times New Roman" w:hAnsi="Times New Roman" w:cs="Times New Roman"/>
          <w:sz w:val="22"/>
          <w:szCs w:val="22"/>
        </w:rPr>
        <w:t>,</w:t>
      </w:r>
      <w:r w:rsidRPr="00EE7A86">
        <w:rPr>
          <w:rFonts w:ascii="Times New Roman" w:hAnsi="Times New Roman" w:cs="Times New Roman"/>
          <w:sz w:val="22"/>
          <w:szCs w:val="22"/>
        </w:rPr>
        <w:t xml:space="preserve"> asumiendo la responsabilidad de </w:t>
      </w:r>
      <w:r w:rsidR="001114E9" w:rsidRPr="00EE7A86">
        <w:rPr>
          <w:rFonts w:ascii="Times New Roman" w:hAnsi="Times New Roman" w:cs="Times New Roman"/>
          <w:sz w:val="22"/>
          <w:szCs w:val="22"/>
        </w:rPr>
        <w:t xml:space="preserve">poner en valor a </w:t>
      </w:r>
      <w:r w:rsidRPr="00EE7A86">
        <w:rPr>
          <w:rFonts w:ascii="Times New Roman" w:hAnsi="Times New Roman" w:cs="Times New Roman"/>
          <w:sz w:val="22"/>
          <w:szCs w:val="22"/>
        </w:rPr>
        <w:t>nuestros héroes locales.</w:t>
      </w:r>
    </w:p>
    <w:p w14:paraId="5235865A" w14:textId="5A6047E4" w:rsidR="003A1821" w:rsidRPr="00EE7A86" w:rsidRDefault="003A1821" w:rsidP="004B1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>Que esta actividad nos unía como patriotas aportando ideas, solidaridad y por sobre todas las cosas NO HABIA GRIETA.</w:t>
      </w:r>
    </w:p>
    <w:p w14:paraId="4578BFF9" w14:textId="77777777" w:rsidR="004B15ED" w:rsidRPr="00EE7A86" w:rsidRDefault="003A1821" w:rsidP="004B15ED">
      <w:pPr>
        <w:pStyle w:val="Sinespaciad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7A86">
        <w:rPr>
          <w:rFonts w:ascii="Times New Roman" w:hAnsi="Times New Roman" w:cs="Times New Roman"/>
          <w:b/>
          <w:sz w:val="22"/>
          <w:szCs w:val="22"/>
        </w:rPr>
        <w:t>Por ello</w:t>
      </w:r>
    </w:p>
    <w:p w14:paraId="641A376B" w14:textId="567CA9E9" w:rsidR="003A1821" w:rsidRPr="00EE7A86" w:rsidRDefault="003A1821" w:rsidP="004B15ED">
      <w:pPr>
        <w:pStyle w:val="Sinespaciad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7A86">
        <w:rPr>
          <w:rFonts w:ascii="Times New Roman" w:hAnsi="Times New Roman" w:cs="Times New Roman"/>
          <w:b/>
          <w:sz w:val="22"/>
          <w:szCs w:val="22"/>
        </w:rPr>
        <w:t xml:space="preserve"> EL CONCEJO DELIBERANTE DE LA MUNICI</w:t>
      </w:r>
      <w:r w:rsidR="00155ACA">
        <w:rPr>
          <w:rFonts w:ascii="Times New Roman" w:hAnsi="Times New Roman" w:cs="Times New Roman"/>
          <w:b/>
          <w:sz w:val="22"/>
          <w:szCs w:val="22"/>
        </w:rPr>
        <w:t xml:space="preserve">PALIDAD DE TILCARA SANCIONA LA </w:t>
      </w:r>
      <w:bookmarkStart w:id="0" w:name="_GoBack"/>
      <w:bookmarkEnd w:id="0"/>
      <w:r w:rsidR="009B1CC5" w:rsidRPr="00EE7A86">
        <w:rPr>
          <w:rFonts w:ascii="Times New Roman" w:hAnsi="Times New Roman" w:cs="Times New Roman"/>
          <w:b/>
          <w:sz w:val="22"/>
          <w:szCs w:val="22"/>
        </w:rPr>
        <w:t>MINUTA DE COMUNICACIÓN N° 34/2024-CDT-</w:t>
      </w:r>
      <w:r w:rsidRPr="00EE7A8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2B45362" w14:textId="77777777" w:rsidR="004B15ED" w:rsidRPr="00EE7A86" w:rsidRDefault="004B15ED" w:rsidP="004B15ED">
      <w:pPr>
        <w:pStyle w:val="Sinespaciad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B5C758A" w14:textId="720C50A7" w:rsidR="003A1821" w:rsidRPr="00EE7A86" w:rsidRDefault="00BC308B" w:rsidP="00EB7A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b/>
          <w:bCs/>
          <w:sz w:val="22"/>
          <w:szCs w:val="22"/>
        </w:rPr>
        <w:t>Artículo</w:t>
      </w:r>
      <w:r w:rsidR="003A1821" w:rsidRPr="00EE7A86">
        <w:rPr>
          <w:rFonts w:ascii="Times New Roman" w:hAnsi="Times New Roman" w:cs="Times New Roman"/>
          <w:b/>
          <w:bCs/>
          <w:sz w:val="22"/>
          <w:szCs w:val="22"/>
        </w:rPr>
        <w:t xml:space="preserve"> 1º:</w:t>
      </w:r>
      <w:r w:rsidR="00A52C5C" w:rsidRPr="00EE7A86">
        <w:rPr>
          <w:rFonts w:ascii="Times New Roman" w:hAnsi="Times New Roman" w:cs="Times New Roman"/>
          <w:sz w:val="22"/>
          <w:szCs w:val="22"/>
        </w:rPr>
        <w:t xml:space="preserve"> </w:t>
      </w:r>
      <w:r w:rsidR="003A1821" w:rsidRPr="00EE7A86">
        <w:rPr>
          <w:rFonts w:ascii="Times New Roman" w:hAnsi="Times New Roman" w:cs="Times New Roman"/>
          <w:sz w:val="22"/>
          <w:szCs w:val="22"/>
        </w:rPr>
        <w:t>Solic</w:t>
      </w:r>
      <w:r w:rsidR="00A65AD3" w:rsidRPr="00EE7A86">
        <w:rPr>
          <w:rFonts w:ascii="Times New Roman" w:hAnsi="Times New Roman" w:cs="Times New Roman"/>
          <w:sz w:val="22"/>
          <w:szCs w:val="22"/>
        </w:rPr>
        <w:t>i</w:t>
      </w:r>
      <w:r w:rsidR="00912957" w:rsidRPr="00EE7A86">
        <w:rPr>
          <w:rFonts w:ascii="Times New Roman" w:hAnsi="Times New Roman" w:cs="Times New Roman"/>
          <w:sz w:val="22"/>
          <w:szCs w:val="22"/>
        </w:rPr>
        <w:t>ta</w:t>
      </w:r>
      <w:r w:rsidR="00DC10BC" w:rsidRPr="00EE7A86">
        <w:rPr>
          <w:rFonts w:ascii="Times New Roman" w:hAnsi="Times New Roman" w:cs="Times New Roman"/>
          <w:sz w:val="22"/>
          <w:szCs w:val="22"/>
        </w:rPr>
        <w:t>se al Poder Ejecutivo y a la S</w:t>
      </w:r>
      <w:r w:rsidR="003A1821" w:rsidRPr="00EE7A86">
        <w:rPr>
          <w:rFonts w:ascii="Times New Roman" w:hAnsi="Times New Roman" w:cs="Times New Roman"/>
          <w:sz w:val="22"/>
          <w:szCs w:val="22"/>
        </w:rPr>
        <w:t xml:space="preserve">ecretaria de Cultura </w:t>
      </w:r>
      <w:r w:rsidR="002F3AB6" w:rsidRPr="00EE7A86">
        <w:rPr>
          <w:rFonts w:ascii="Times New Roman" w:hAnsi="Times New Roman" w:cs="Times New Roman"/>
          <w:sz w:val="22"/>
          <w:szCs w:val="22"/>
        </w:rPr>
        <w:t>el cumplimiento de la Ordenanza N°11/02.</w:t>
      </w:r>
    </w:p>
    <w:p w14:paraId="3C4B9B5C" w14:textId="6F28BC00" w:rsidR="003A1821" w:rsidRPr="00EE7A86" w:rsidRDefault="003A1821" w:rsidP="00EB7A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b/>
          <w:bCs/>
          <w:sz w:val="22"/>
          <w:szCs w:val="22"/>
        </w:rPr>
        <w:t>Artículo 2º:</w:t>
      </w:r>
      <w:r w:rsidRPr="00EE7A86">
        <w:rPr>
          <w:rFonts w:ascii="Times New Roman" w:hAnsi="Times New Roman" w:cs="Times New Roman"/>
          <w:sz w:val="22"/>
          <w:szCs w:val="22"/>
        </w:rPr>
        <w:t xml:space="preserve"> Se com</w:t>
      </w:r>
      <w:r w:rsidR="00102040" w:rsidRPr="00EE7A86">
        <w:rPr>
          <w:rFonts w:ascii="Times New Roman" w:hAnsi="Times New Roman" w:cs="Times New Roman"/>
          <w:sz w:val="22"/>
          <w:szCs w:val="22"/>
        </w:rPr>
        <w:t xml:space="preserve">unique a los familiares </w:t>
      </w:r>
      <w:r w:rsidR="002F3AB6" w:rsidRPr="00EE7A86">
        <w:rPr>
          <w:rFonts w:ascii="Times New Roman" w:hAnsi="Times New Roman" w:cs="Times New Roman"/>
          <w:sz w:val="22"/>
          <w:szCs w:val="22"/>
        </w:rPr>
        <w:t xml:space="preserve">de nuestros héroes de Malvinas </w:t>
      </w:r>
      <w:r w:rsidR="00102040" w:rsidRPr="00EE7A86">
        <w:rPr>
          <w:rFonts w:ascii="Times New Roman" w:hAnsi="Times New Roman" w:cs="Times New Roman"/>
          <w:sz w:val="22"/>
          <w:szCs w:val="22"/>
        </w:rPr>
        <w:t>que el C</w:t>
      </w:r>
      <w:r w:rsidRPr="00EE7A86">
        <w:rPr>
          <w:rFonts w:ascii="Times New Roman" w:hAnsi="Times New Roman" w:cs="Times New Roman"/>
          <w:sz w:val="22"/>
          <w:szCs w:val="22"/>
        </w:rPr>
        <w:t xml:space="preserve">oncejo </w:t>
      </w:r>
      <w:r w:rsidR="00102040" w:rsidRPr="00EE7A86">
        <w:rPr>
          <w:rFonts w:ascii="Times New Roman" w:hAnsi="Times New Roman" w:cs="Times New Roman"/>
          <w:sz w:val="22"/>
          <w:szCs w:val="22"/>
        </w:rPr>
        <w:t xml:space="preserve">Deliberante </w:t>
      </w:r>
      <w:r w:rsidRPr="00EE7A86">
        <w:rPr>
          <w:rFonts w:ascii="Times New Roman" w:hAnsi="Times New Roman" w:cs="Times New Roman"/>
          <w:sz w:val="22"/>
          <w:szCs w:val="22"/>
        </w:rPr>
        <w:t>sigue fac</w:t>
      </w:r>
      <w:r w:rsidR="00102040" w:rsidRPr="00EE7A86">
        <w:rPr>
          <w:rFonts w:ascii="Times New Roman" w:hAnsi="Times New Roman" w:cs="Times New Roman"/>
          <w:sz w:val="22"/>
          <w:szCs w:val="22"/>
        </w:rPr>
        <w:t>ultado para rea</w:t>
      </w:r>
      <w:r w:rsidR="003953F4" w:rsidRPr="00EE7A86">
        <w:rPr>
          <w:rFonts w:ascii="Times New Roman" w:hAnsi="Times New Roman" w:cs="Times New Roman"/>
          <w:sz w:val="22"/>
          <w:szCs w:val="22"/>
        </w:rPr>
        <w:t>lizar dicho acto, tal como lo expresa la ordenanza</w:t>
      </w:r>
      <w:r w:rsidR="002F3AB6" w:rsidRPr="00EE7A86">
        <w:rPr>
          <w:rFonts w:ascii="Times New Roman" w:hAnsi="Times New Roman" w:cs="Times New Roman"/>
          <w:sz w:val="22"/>
          <w:szCs w:val="22"/>
        </w:rPr>
        <w:t>.</w:t>
      </w:r>
    </w:p>
    <w:p w14:paraId="0ED7F7B5" w14:textId="0B4C727D" w:rsidR="003953F4" w:rsidRPr="00EE7A86" w:rsidRDefault="003A1821" w:rsidP="00EB7A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b/>
          <w:bCs/>
          <w:sz w:val="22"/>
          <w:szCs w:val="22"/>
        </w:rPr>
        <w:t>Artículo 3º:</w:t>
      </w:r>
      <w:r w:rsidR="00585D84" w:rsidRPr="00EE7A86">
        <w:rPr>
          <w:rFonts w:ascii="Times New Roman" w:hAnsi="Times New Roman" w:cs="Times New Roman"/>
          <w:sz w:val="22"/>
          <w:szCs w:val="22"/>
        </w:rPr>
        <w:t xml:space="preserve"> Comuníquese, publíquese. C</w:t>
      </w:r>
      <w:r w:rsidRPr="00EE7A86">
        <w:rPr>
          <w:rFonts w:ascii="Times New Roman" w:hAnsi="Times New Roman" w:cs="Times New Roman"/>
          <w:sz w:val="22"/>
          <w:szCs w:val="22"/>
        </w:rPr>
        <w:t>umplido</w:t>
      </w:r>
      <w:r w:rsidR="00585D84" w:rsidRPr="00EE7A86">
        <w:rPr>
          <w:rFonts w:ascii="Times New Roman" w:hAnsi="Times New Roman" w:cs="Times New Roman"/>
          <w:sz w:val="22"/>
          <w:szCs w:val="22"/>
        </w:rPr>
        <w:t>,</w:t>
      </w:r>
      <w:r w:rsidRPr="00EE7A86">
        <w:rPr>
          <w:rFonts w:ascii="Times New Roman" w:hAnsi="Times New Roman" w:cs="Times New Roman"/>
          <w:sz w:val="22"/>
          <w:szCs w:val="22"/>
        </w:rPr>
        <w:t xml:space="preserve"> archívese</w:t>
      </w:r>
      <w:r w:rsidR="002F3AB6" w:rsidRPr="00EE7A86">
        <w:rPr>
          <w:rFonts w:ascii="Times New Roman" w:hAnsi="Times New Roman" w:cs="Times New Roman"/>
          <w:sz w:val="22"/>
          <w:szCs w:val="22"/>
        </w:rPr>
        <w:t>.</w:t>
      </w:r>
    </w:p>
    <w:p w14:paraId="0ED0CE66" w14:textId="422F926E" w:rsidR="00DB203D" w:rsidRPr="00EE7A86" w:rsidRDefault="00DB203D" w:rsidP="00DB203D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E7A86">
        <w:rPr>
          <w:rFonts w:ascii="Times New Roman" w:hAnsi="Times New Roman" w:cs="Times New Roman"/>
          <w:sz w:val="22"/>
          <w:szCs w:val="22"/>
        </w:rPr>
        <w:t>Concejo Deliberante, 10 de mayo de 2024</w:t>
      </w:r>
    </w:p>
    <w:sectPr w:rsidR="00DB203D" w:rsidRPr="00EE7A86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50B1" w14:textId="77777777" w:rsidR="00E2057A" w:rsidRDefault="00E2057A" w:rsidP="00A90E61">
      <w:pPr>
        <w:spacing w:after="0" w:line="240" w:lineRule="auto"/>
      </w:pPr>
      <w:r>
        <w:separator/>
      </w:r>
    </w:p>
  </w:endnote>
  <w:endnote w:type="continuationSeparator" w:id="0">
    <w:p w14:paraId="1A13BC2A" w14:textId="77777777" w:rsidR="00E2057A" w:rsidRDefault="00E2057A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003B1" w14:textId="77777777" w:rsidR="00E2057A" w:rsidRDefault="00E2057A" w:rsidP="00A90E61">
      <w:pPr>
        <w:spacing w:after="0" w:line="240" w:lineRule="auto"/>
      </w:pPr>
      <w:r>
        <w:separator/>
      </w:r>
    </w:p>
  </w:footnote>
  <w:footnote w:type="continuationSeparator" w:id="0">
    <w:p w14:paraId="770DC6C1" w14:textId="77777777" w:rsidR="00E2057A" w:rsidRDefault="00E2057A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1F54" w14:textId="7D44E163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E1F97EF" wp14:editId="6ECCCD85">
          <wp:simplePos x="0" y="0"/>
          <wp:positionH relativeFrom="column">
            <wp:posOffset>4444365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28BFEC44" wp14:editId="65D7B5AE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CD">
      <w:rPr>
        <w:b/>
      </w:rPr>
      <w:t xml:space="preserve">                                   </w:t>
    </w:r>
    <w:r w:rsidR="00CF65D7" w:rsidRPr="00CF65D7">
      <w:rPr>
        <w:b/>
      </w:rPr>
      <w:t>CONCEJO DELIBERANTE de la</w:t>
    </w:r>
  </w:p>
  <w:p w14:paraId="291BC0D8" w14:textId="4749B638" w:rsidR="00CF65D7" w:rsidRPr="00CF65D7" w:rsidRDefault="00EB7ACD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  <w:t xml:space="preserve">                          MUNICIPALIDAD DE TILCARA</w:t>
    </w:r>
  </w:p>
  <w:p w14:paraId="316602A5" w14:textId="230B9BE7" w:rsidR="004B5A61" w:rsidRDefault="00EB7ACD" w:rsidP="00AF5C76">
    <w:pPr>
      <w:pStyle w:val="Encabezado"/>
      <w:ind w:left="-709"/>
      <w:jc w:val="center"/>
      <w:rPr>
        <w:rFonts w:ascii="Arial" w:eastAsia="Georgia" w:hAnsi="Arial" w:cs="Arial"/>
        <w:b/>
      </w:rPr>
    </w:pPr>
    <w:r>
      <w:t xml:space="preserve">                                         </w:t>
    </w:r>
    <w:r w:rsidR="00CF65D7">
      <w:t>Simón Bolívar 269 (46</w:t>
    </w:r>
    <w:r w:rsidR="00AF5C76">
      <w:t>24) Tilcara – Provincia de Jujuy</w:t>
    </w:r>
    <w:r w:rsidR="00B67C19">
      <w:t xml:space="preserve">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75CE"/>
    <w:rsid w:val="00025544"/>
    <w:rsid w:val="00096A70"/>
    <w:rsid w:val="000C363F"/>
    <w:rsid w:val="000C3F3E"/>
    <w:rsid w:val="000D65E6"/>
    <w:rsid w:val="000E3939"/>
    <w:rsid w:val="000F6DBA"/>
    <w:rsid w:val="00101EB6"/>
    <w:rsid w:val="00102040"/>
    <w:rsid w:val="001042F7"/>
    <w:rsid w:val="001114E9"/>
    <w:rsid w:val="00112A2D"/>
    <w:rsid w:val="00125446"/>
    <w:rsid w:val="00155ACA"/>
    <w:rsid w:val="00162CF9"/>
    <w:rsid w:val="00166B92"/>
    <w:rsid w:val="0018060E"/>
    <w:rsid w:val="00187B56"/>
    <w:rsid w:val="001B5F55"/>
    <w:rsid w:val="001C01B3"/>
    <w:rsid w:val="001D3FA8"/>
    <w:rsid w:val="002366A1"/>
    <w:rsid w:val="00250DD7"/>
    <w:rsid w:val="00250F57"/>
    <w:rsid w:val="00252E8B"/>
    <w:rsid w:val="00253838"/>
    <w:rsid w:val="00274325"/>
    <w:rsid w:val="002A48A5"/>
    <w:rsid w:val="002A7828"/>
    <w:rsid w:val="002B7C4F"/>
    <w:rsid w:val="002D7B8D"/>
    <w:rsid w:val="002F1405"/>
    <w:rsid w:val="002F3AB6"/>
    <w:rsid w:val="00323285"/>
    <w:rsid w:val="0033447B"/>
    <w:rsid w:val="00340187"/>
    <w:rsid w:val="00375E8E"/>
    <w:rsid w:val="003814BF"/>
    <w:rsid w:val="00393AD3"/>
    <w:rsid w:val="00394EA5"/>
    <w:rsid w:val="003953F4"/>
    <w:rsid w:val="00396F3E"/>
    <w:rsid w:val="003A1821"/>
    <w:rsid w:val="003B5936"/>
    <w:rsid w:val="003E2298"/>
    <w:rsid w:val="004276BE"/>
    <w:rsid w:val="0043335F"/>
    <w:rsid w:val="00442AFD"/>
    <w:rsid w:val="00446B65"/>
    <w:rsid w:val="00451133"/>
    <w:rsid w:val="00454878"/>
    <w:rsid w:val="00461458"/>
    <w:rsid w:val="004A3595"/>
    <w:rsid w:val="004A7FCA"/>
    <w:rsid w:val="004B15ED"/>
    <w:rsid w:val="004B5A61"/>
    <w:rsid w:val="004B6953"/>
    <w:rsid w:val="004F510C"/>
    <w:rsid w:val="00511CDF"/>
    <w:rsid w:val="00513305"/>
    <w:rsid w:val="00535340"/>
    <w:rsid w:val="005751FB"/>
    <w:rsid w:val="00580767"/>
    <w:rsid w:val="00585008"/>
    <w:rsid w:val="00585D84"/>
    <w:rsid w:val="005975EC"/>
    <w:rsid w:val="005A3946"/>
    <w:rsid w:val="005A666D"/>
    <w:rsid w:val="005B78E1"/>
    <w:rsid w:val="005D5758"/>
    <w:rsid w:val="006016D6"/>
    <w:rsid w:val="006019B9"/>
    <w:rsid w:val="00605C14"/>
    <w:rsid w:val="00616F21"/>
    <w:rsid w:val="00666596"/>
    <w:rsid w:val="00674AC0"/>
    <w:rsid w:val="00680CE2"/>
    <w:rsid w:val="00695707"/>
    <w:rsid w:val="006C0977"/>
    <w:rsid w:val="006F41A3"/>
    <w:rsid w:val="006F6360"/>
    <w:rsid w:val="00700299"/>
    <w:rsid w:val="00750E5E"/>
    <w:rsid w:val="00766CCD"/>
    <w:rsid w:val="00770D71"/>
    <w:rsid w:val="007801AD"/>
    <w:rsid w:val="00783080"/>
    <w:rsid w:val="00791667"/>
    <w:rsid w:val="007B0924"/>
    <w:rsid w:val="007B16CC"/>
    <w:rsid w:val="007C55EA"/>
    <w:rsid w:val="007D52BC"/>
    <w:rsid w:val="007F0F15"/>
    <w:rsid w:val="00823634"/>
    <w:rsid w:val="00862715"/>
    <w:rsid w:val="00870717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957"/>
    <w:rsid w:val="00912A26"/>
    <w:rsid w:val="00955A32"/>
    <w:rsid w:val="0099648E"/>
    <w:rsid w:val="009B1CC5"/>
    <w:rsid w:val="009B6454"/>
    <w:rsid w:val="009F1961"/>
    <w:rsid w:val="00A102FA"/>
    <w:rsid w:val="00A122EA"/>
    <w:rsid w:val="00A212F8"/>
    <w:rsid w:val="00A30598"/>
    <w:rsid w:val="00A52C5C"/>
    <w:rsid w:val="00A61525"/>
    <w:rsid w:val="00A65165"/>
    <w:rsid w:val="00A65AD3"/>
    <w:rsid w:val="00A72500"/>
    <w:rsid w:val="00A77558"/>
    <w:rsid w:val="00A90E61"/>
    <w:rsid w:val="00A95FAA"/>
    <w:rsid w:val="00AB72FC"/>
    <w:rsid w:val="00AB79C5"/>
    <w:rsid w:val="00AC7B49"/>
    <w:rsid w:val="00AF185C"/>
    <w:rsid w:val="00AF5C76"/>
    <w:rsid w:val="00B06F04"/>
    <w:rsid w:val="00B20C7E"/>
    <w:rsid w:val="00B26FDE"/>
    <w:rsid w:val="00B67C19"/>
    <w:rsid w:val="00B93B80"/>
    <w:rsid w:val="00BA1FA4"/>
    <w:rsid w:val="00BC308B"/>
    <w:rsid w:val="00BE62B2"/>
    <w:rsid w:val="00BE7852"/>
    <w:rsid w:val="00C11310"/>
    <w:rsid w:val="00C17B80"/>
    <w:rsid w:val="00C24517"/>
    <w:rsid w:val="00C36ED9"/>
    <w:rsid w:val="00C417B7"/>
    <w:rsid w:val="00C4782B"/>
    <w:rsid w:val="00C613D6"/>
    <w:rsid w:val="00C641D3"/>
    <w:rsid w:val="00C908F1"/>
    <w:rsid w:val="00C914EC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87A95"/>
    <w:rsid w:val="00D9442E"/>
    <w:rsid w:val="00DA728B"/>
    <w:rsid w:val="00DB203D"/>
    <w:rsid w:val="00DB742F"/>
    <w:rsid w:val="00DC0F9F"/>
    <w:rsid w:val="00DC10BC"/>
    <w:rsid w:val="00DC13E1"/>
    <w:rsid w:val="00DC17DF"/>
    <w:rsid w:val="00DC6BEC"/>
    <w:rsid w:val="00DD0346"/>
    <w:rsid w:val="00DD465C"/>
    <w:rsid w:val="00E00867"/>
    <w:rsid w:val="00E2057A"/>
    <w:rsid w:val="00E45A19"/>
    <w:rsid w:val="00E757E3"/>
    <w:rsid w:val="00E811F5"/>
    <w:rsid w:val="00E82506"/>
    <w:rsid w:val="00E91CDD"/>
    <w:rsid w:val="00EA6700"/>
    <w:rsid w:val="00EB7ACD"/>
    <w:rsid w:val="00EC575D"/>
    <w:rsid w:val="00ED0039"/>
    <w:rsid w:val="00ED2D19"/>
    <w:rsid w:val="00ED45BB"/>
    <w:rsid w:val="00EE7A86"/>
    <w:rsid w:val="00EF4509"/>
    <w:rsid w:val="00EF638E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5FD9D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4B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489F-6736-4304-A24E-2189E6C7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64</cp:revision>
  <cp:lastPrinted>2023-10-03T14:52:00Z</cp:lastPrinted>
  <dcterms:created xsi:type="dcterms:W3CDTF">2024-05-17T14:58:00Z</dcterms:created>
  <dcterms:modified xsi:type="dcterms:W3CDTF">2024-05-22T15:26:00Z</dcterms:modified>
</cp:coreProperties>
</file>