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34EC5F1D" w:rsidR="00F45CCC" w:rsidRPr="00C83362" w:rsidRDefault="00F45CCC" w:rsidP="00C8336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 w:rsidRPr="00C83362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MINUTA DE COMUNICACION Nº</w:t>
      </w:r>
      <w:r w:rsidR="0053289D" w:rsidRPr="00C83362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 xml:space="preserve"> 6</w:t>
      </w:r>
      <w:r w:rsidR="00C83362" w:rsidRPr="00C83362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9</w:t>
      </w:r>
      <w:r w:rsidR="00EF3F50" w:rsidRPr="00C83362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/2024</w:t>
      </w:r>
      <w:r w:rsidR="00A530FE" w:rsidRPr="00C83362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-CDT-</w:t>
      </w:r>
    </w:p>
    <w:p w14:paraId="7E9D0249" w14:textId="688F4FEE" w:rsidR="00C83362" w:rsidRPr="007478E2" w:rsidRDefault="00CD095C" w:rsidP="00C8336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8E2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7478E2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7478E2">
        <w:rPr>
          <w:rFonts w:ascii="Times New Roman" w:hAnsi="Times New Roman" w:cs="Times New Roman"/>
          <w:b/>
          <w:sz w:val="20"/>
          <w:szCs w:val="20"/>
        </w:rPr>
        <w:t>: Ejecutivo, a través del área de personal</w:t>
      </w:r>
      <w:r w:rsidR="007478E2" w:rsidRPr="007478E2">
        <w:rPr>
          <w:rFonts w:ascii="Times New Roman" w:hAnsi="Times New Roman" w:cs="Times New Roman"/>
          <w:b/>
          <w:sz w:val="20"/>
          <w:szCs w:val="20"/>
        </w:rPr>
        <w:t>,</w:t>
      </w:r>
      <w:r w:rsidRPr="007478E2">
        <w:rPr>
          <w:rFonts w:ascii="Times New Roman" w:hAnsi="Times New Roman" w:cs="Times New Roman"/>
          <w:b/>
          <w:sz w:val="20"/>
          <w:szCs w:val="20"/>
        </w:rPr>
        <w:t xml:space="preserve"> remita informe y fundamento </w:t>
      </w:r>
      <w:r w:rsidR="007478E2" w:rsidRPr="007478E2">
        <w:rPr>
          <w:rFonts w:ascii="Times New Roman" w:hAnsi="Times New Roman" w:cs="Times New Roman"/>
          <w:b/>
          <w:sz w:val="20"/>
          <w:szCs w:val="20"/>
        </w:rPr>
        <w:t>su accionar ante la negativa de</w:t>
      </w:r>
      <w:r w:rsidRPr="007478E2">
        <w:rPr>
          <w:rFonts w:ascii="Times New Roman" w:hAnsi="Times New Roman" w:cs="Times New Roman"/>
          <w:b/>
          <w:sz w:val="20"/>
          <w:szCs w:val="20"/>
        </w:rPr>
        <w:t xml:space="preserve"> la devolución de horas al personal municipal)</w:t>
      </w:r>
    </w:p>
    <w:p w14:paraId="5415978A" w14:textId="77777777" w:rsidR="00C83362" w:rsidRPr="00C83362" w:rsidRDefault="00C83362" w:rsidP="00C833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362">
        <w:rPr>
          <w:rFonts w:ascii="Times New Roman" w:hAnsi="Times New Roman" w:cs="Times New Roman"/>
          <w:b/>
          <w:sz w:val="28"/>
          <w:szCs w:val="28"/>
        </w:rPr>
        <w:t xml:space="preserve">VISTO: </w:t>
      </w:r>
    </w:p>
    <w:p w14:paraId="5B636D16" w14:textId="7F7A0B3F" w:rsidR="00C83362" w:rsidRPr="00C83362" w:rsidRDefault="00C83362" w:rsidP="00C8336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 xml:space="preserve">La Ley </w:t>
      </w:r>
      <w:r w:rsidRPr="00C83362">
        <w:rPr>
          <w:rFonts w:ascii="Times New Roman" w:hAnsi="Times New Roman" w:cs="Times New Roman"/>
        </w:rPr>
        <w:t>Orgánica</w:t>
      </w:r>
      <w:r w:rsidRPr="00C83362">
        <w:rPr>
          <w:rFonts w:ascii="Times New Roman" w:hAnsi="Times New Roman" w:cs="Times New Roman"/>
        </w:rPr>
        <w:t xml:space="preserve"> de los Municipios Nº 4466/89 y </w:t>
      </w:r>
      <w:r>
        <w:rPr>
          <w:rFonts w:ascii="Times New Roman" w:hAnsi="Times New Roman" w:cs="Times New Roman"/>
        </w:rPr>
        <w:t xml:space="preserve">los </w:t>
      </w:r>
      <w:r w:rsidRPr="00C83362">
        <w:rPr>
          <w:rFonts w:ascii="Times New Roman" w:hAnsi="Times New Roman" w:cs="Times New Roman"/>
        </w:rPr>
        <w:t>artículo</w:t>
      </w:r>
      <w:r>
        <w:rPr>
          <w:rFonts w:ascii="Times New Roman" w:hAnsi="Times New Roman" w:cs="Times New Roman"/>
        </w:rPr>
        <w:t xml:space="preserve">s Nª 200 у </w:t>
      </w:r>
      <w:r w:rsidRPr="00C83362">
        <w:rPr>
          <w:rFonts w:ascii="Times New Roman" w:hAnsi="Times New Roman" w:cs="Times New Roman"/>
        </w:rPr>
        <w:t xml:space="preserve">Nº122 del Reglamento Interno del Concejo Deliberante de la Municipalidad de </w:t>
      </w:r>
      <w:r>
        <w:rPr>
          <w:rFonts w:ascii="Times New Roman" w:hAnsi="Times New Roman" w:cs="Times New Roman"/>
        </w:rPr>
        <w:t>Tilcara.</w:t>
      </w:r>
    </w:p>
    <w:p w14:paraId="105CCAAC" w14:textId="77777777" w:rsidR="00C83362" w:rsidRPr="00C83362" w:rsidRDefault="00C83362" w:rsidP="00C8336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83362">
        <w:rPr>
          <w:rFonts w:ascii="Times New Roman" w:hAnsi="Times New Roman" w:cs="Times New Roman"/>
          <w:b/>
        </w:rPr>
        <w:t>CONSIDERANDO:</w:t>
      </w:r>
    </w:p>
    <w:p w14:paraId="52D7EE9E" w14:textId="77777777" w:rsidR="00C83362" w:rsidRPr="00C83362" w:rsidRDefault="00C83362" w:rsidP="00C8336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>Que es facultad del cuerpo de concejales la de solicitar al Departamento Ejecutivo informe sobre cuestiones referentes a su competencia.</w:t>
      </w:r>
    </w:p>
    <w:p w14:paraId="40E9FDD6" w14:textId="7A961842" w:rsidR="00C83362" w:rsidRPr="00C83362" w:rsidRDefault="00C83362" w:rsidP="00C8336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se recibió en esta institución una</w:t>
      </w:r>
      <w:r w:rsidRPr="00C83362">
        <w:rPr>
          <w:rFonts w:ascii="Times New Roman" w:hAnsi="Times New Roman" w:cs="Times New Roman"/>
        </w:rPr>
        <w:t xml:space="preserve"> enorme cantidad de reclamos </w:t>
      </w:r>
      <w:r>
        <w:rPr>
          <w:rFonts w:ascii="Times New Roman" w:hAnsi="Times New Roman" w:cs="Times New Roman"/>
        </w:rPr>
        <w:t xml:space="preserve">presentados por </w:t>
      </w:r>
      <w:r w:rsidRPr="00C83362">
        <w:rPr>
          <w:rFonts w:ascii="Times New Roman" w:hAnsi="Times New Roman" w:cs="Times New Roman"/>
        </w:rPr>
        <w:t xml:space="preserve">los empleados al </w:t>
      </w:r>
      <w:r>
        <w:rPr>
          <w:rFonts w:ascii="Times New Roman" w:hAnsi="Times New Roman" w:cs="Times New Roman"/>
        </w:rPr>
        <w:t>ver cercenados</w:t>
      </w:r>
      <w:r w:rsidRPr="00C83362">
        <w:rPr>
          <w:rFonts w:ascii="Times New Roman" w:hAnsi="Times New Roman" w:cs="Times New Roman"/>
        </w:rPr>
        <w:t xml:space="preserve"> sus derechos laborales.</w:t>
      </w:r>
    </w:p>
    <w:p w14:paraId="6BBBDDCC" w14:textId="2B593A0C" w:rsidR="00C83362" w:rsidRPr="00C83362" w:rsidRDefault="00C83362" w:rsidP="00CD09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>Que siempre estuvieron a disposición del ejecutivo</w:t>
      </w:r>
      <w:r w:rsidR="00CD095C">
        <w:rPr>
          <w:rFonts w:ascii="Times New Roman" w:hAnsi="Times New Roman" w:cs="Times New Roman"/>
        </w:rPr>
        <w:t>, y</w:t>
      </w:r>
      <w:r w:rsidRPr="00C83362">
        <w:rPr>
          <w:rFonts w:ascii="Times New Roman" w:hAnsi="Times New Roman" w:cs="Times New Roman"/>
        </w:rPr>
        <w:t xml:space="preserve"> </w:t>
      </w:r>
      <w:r w:rsidR="00CD095C">
        <w:rPr>
          <w:rFonts w:ascii="Times New Roman" w:hAnsi="Times New Roman" w:cs="Times New Roman"/>
        </w:rPr>
        <w:t xml:space="preserve">aun así </w:t>
      </w:r>
      <w:r w:rsidRPr="00C83362">
        <w:rPr>
          <w:rFonts w:ascii="Times New Roman" w:hAnsi="Times New Roman" w:cs="Times New Roman"/>
        </w:rPr>
        <w:t xml:space="preserve">muchas veces </w:t>
      </w:r>
      <w:r w:rsidR="00CD095C">
        <w:rPr>
          <w:rFonts w:ascii="Times New Roman" w:hAnsi="Times New Roman" w:cs="Times New Roman"/>
        </w:rPr>
        <w:t>se les negó</w:t>
      </w:r>
      <w:r w:rsidRPr="00C83362">
        <w:rPr>
          <w:rFonts w:ascii="Times New Roman" w:hAnsi="Times New Roman" w:cs="Times New Roman"/>
        </w:rPr>
        <w:t xml:space="preserve"> sus correspondientes devoluciones alegando que no contaban con personal.</w:t>
      </w:r>
    </w:p>
    <w:p w14:paraId="2138B9E5" w14:textId="28C50587" w:rsidR="00C83362" w:rsidRPr="00C83362" w:rsidRDefault="00C83362" w:rsidP="00CD09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 xml:space="preserve">Que el poder Ejecutivo no debe desconocer las horas trabajadas por los empleados, </w:t>
      </w:r>
      <w:r w:rsidR="00CD095C" w:rsidRPr="00C83362">
        <w:rPr>
          <w:rFonts w:ascii="Times New Roman" w:hAnsi="Times New Roman" w:cs="Times New Roman"/>
        </w:rPr>
        <w:t>más</w:t>
      </w:r>
      <w:r w:rsidRPr="00C83362">
        <w:rPr>
          <w:rFonts w:ascii="Times New Roman" w:hAnsi="Times New Roman" w:cs="Times New Roman"/>
        </w:rPr>
        <w:t xml:space="preserve"> en estos tiempos donde </w:t>
      </w:r>
      <w:r w:rsidR="00CD095C">
        <w:rPr>
          <w:rFonts w:ascii="Times New Roman" w:hAnsi="Times New Roman" w:cs="Times New Roman"/>
        </w:rPr>
        <w:t xml:space="preserve">teniendo un magro sueldo se hace necesario contar con </w:t>
      </w:r>
      <w:r w:rsidRPr="00C83362">
        <w:rPr>
          <w:rFonts w:ascii="Times New Roman" w:hAnsi="Times New Roman" w:cs="Times New Roman"/>
        </w:rPr>
        <w:t>un trabajo alternativo para poder subsistir a</w:t>
      </w:r>
      <w:r w:rsidR="00CD095C">
        <w:rPr>
          <w:rFonts w:ascii="Times New Roman" w:hAnsi="Times New Roman" w:cs="Times New Roman"/>
        </w:rPr>
        <w:t>nte la inflación que</w:t>
      </w:r>
      <w:r w:rsidRPr="00C83362">
        <w:rPr>
          <w:rFonts w:ascii="Times New Roman" w:hAnsi="Times New Roman" w:cs="Times New Roman"/>
        </w:rPr>
        <w:t xml:space="preserve"> atosiga en todo sentido.</w:t>
      </w:r>
    </w:p>
    <w:p w14:paraId="1840577E" w14:textId="279E93AA" w:rsidR="00C83362" w:rsidRPr="00C83362" w:rsidRDefault="00C83362" w:rsidP="00CD09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 xml:space="preserve">Que todas las horas constan </w:t>
      </w:r>
      <w:r w:rsidR="007478E2">
        <w:rPr>
          <w:rFonts w:ascii="Times New Roman" w:hAnsi="Times New Roman" w:cs="Times New Roman"/>
        </w:rPr>
        <w:t xml:space="preserve">registradas </w:t>
      </w:r>
      <w:r w:rsidRPr="00C83362">
        <w:rPr>
          <w:rFonts w:ascii="Times New Roman" w:hAnsi="Times New Roman" w:cs="Times New Roman"/>
        </w:rPr>
        <w:t>en el área de</w:t>
      </w:r>
      <w:r w:rsidR="00CD095C">
        <w:rPr>
          <w:rFonts w:ascii="Times New Roman" w:hAnsi="Times New Roman" w:cs="Times New Roman"/>
        </w:rPr>
        <w:t xml:space="preserve"> personal para su verificación. </w:t>
      </w:r>
    </w:p>
    <w:p w14:paraId="77693351" w14:textId="6412CE86" w:rsidR="00C83362" w:rsidRPr="00C83362" w:rsidRDefault="00C83362" w:rsidP="00CD09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>Que corresponde por Ley hacer devoluc</w:t>
      </w:r>
      <w:r w:rsidR="007478E2">
        <w:rPr>
          <w:rFonts w:ascii="Times New Roman" w:hAnsi="Times New Roman" w:cs="Times New Roman"/>
        </w:rPr>
        <w:t>iones de horas o</w:t>
      </w:r>
      <w:r w:rsidRPr="00C83362">
        <w:rPr>
          <w:rFonts w:ascii="Times New Roman" w:hAnsi="Times New Roman" w:cs="Times New Roman"/>
        </w:rPr>
        <w:t xml:space="preserve"> en todo caso pagar en efectivo las horas "extras".</w:t>
      </w:r>
    </w:p>
    <w:p w14:paraId="19E2B39F" w14:textId="19F207FD" w:rsidR="00C83362" w:rsidRPr="00C83362" w:rsidRDefault="00C83362" w:rsidP="00CD09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83362">
        <w:rPr>
          <w:rFonts w:ascii="Times New Roman" w:hAnsi="Times New Roman" w:cs="Times New Roman"/>
        </w:rPr>
        <w:t>Que se</w:t>
      </w:r>
      <w:r w:rsidR="00CD095C">
        <w:rPr>
          <w:rFonts w:ascii="Times New Roman" w:hAnsi="Times New Roman" w:cs="Times New Roman"/>
        </w:rPr>
        <w:t>gún ordenanza 15/97 corresponde dar curso a los solicitado por el personal municipal.</w:t>
      </w:r>
    </w:p>
    <w:p w14:paraId="7DC2AA35" w14:textId="424C5092" w:rsidR="00C83362" w:rsidRDefault="00C83362" w:rsidP="00C83362">
      <w:pPr>
        <w:pStyle w:val="Sinespaciad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 TODO ELLO</w:t>
      </w:r>
    </w:p>
    <w:p w14:paraId="2911A4B8" w14:textId="33966208" w:rsidR="00C83362" w:rsidRPr="00C83362" w:rsidRDefault="00CD095C" w:rsidP="00C83362">
      <w:pPr>
        <w:pStyle w:val="Sinespaciado"/>
        <w:jc w:val="center"/>
      </w:pPr>
      <w:r>
        <w:rPr>
          <w:rFonts w:ascii="Times New Roman" w:hAnsi="Times New Roman" w:cs="Times New Roman"/>
          <w:b/>
        </w:rPr>
        <w:t xml:space="preserve">EL </w:t>
      </w:r>
      <w:r w:rsidR="00C83362" w:rsidRPr="00C83362">
        <w:rPr>
          <w:rFonts w:ascii="Times New Roman" w:hAnsi="Times New Roman" w:cs="Times New Roman"/>
          <w:b/>
        </w:rPr>
        <w:t>CONCEJO DELIBERANTE DE LA CIUDAD DE TILCARA, EN USO DE LAS ATRIBUCIONES QUE LE CONFIERE LA LEY ORGANICA DE LOS MUNICIPIOS</w:t>
      </w:r>
      <w:r w:rsidR="00C83362" w:rsidRPr="00C83362">
        <w:rPr>
          <w:rFonts w:ascii="Times New Roman" w:hAnsi="Times New Roman" w:cs="Times New Roman"/>
          <w:b/>
        </w:rPr>
        <w:t xml:space="preserve"> Nº 4466/89 SANCIONA LA MINUTA DE COMUNICACIÓN N°69/2024-CDT</w:t>
      </w:r>
      <w:r w:rsidR="00C83362" w:rsidRPr="00C83362">
        <w:t>-</w:t>
      </w:r>
    </w:p>
    <w:p w14:paraId="24E8E509" w14:textId="77777777" w:rsidR="00C83362" w:rsidRPr="00C83362" w:rsidRDefault="00C83362" w:rsidP="00C83362">
      <w:pPr>
        <w:spacing w:line="360" w:lineRule="auto"/>
        <w:jc w:val="both"/>
        <w:rPr>
          <w:rFonts w:ascii="Times New Roman" w:hAnsi="Times New Roman" w:cs="Times New Roman"/>
        </w:rPr>
      </w:pPr>
    </w:p>
    <w:p w14:paraId="15A75AF8" w14:textId="19227BD3" w:rsidR="00C83362" w:rsidRPr="00C83362" w:rsidRDefault="00C83362" w:rsidP="00C83362">
      <w:pPr>
        <w:spacing w:line="360" w:lineRule="auto"/>
        <w:jc w:val="both"/>
        <w:rPr>
          <w:rFonts w:ascii="Times New Roman" w:hAnsi="Times New Roman" w:cs="Times New Roman"/>
        </w:rPr>
      </w:pPr>
      <w:r w:rsidRPr="00CD095C">
        <w:rPr>
          <w:rFonts w:ascii="Times New Roman" w:hAnsi="Times New Roman" w:cs="Times New Roman"/>
          <w:b/>
        </w:rPr>
        <w:t>ARTICULO 1</w:t>
      </w:r>
      <w:r w:rsidRPr="00C83362">
        <w:rPr>
          <w:rFonts w:ascii="Times New Roman" w:hAnsi="Times New Roman" w:cs="Times New Roman"/>
        </w:rPr>
        <w:t>: Se solicita al</w:t>
      </w:r>
      <w:r w:rsidR="00CD095C">
        <w:rPr>
          <w:rFonts w:ascii="Times New Roman" w:hAnsi="Times New Roman" w:cs="Times New Roman"/>
        </w:rPr>
        <w:t xml:space="preserve"> Ejecutivo que a través del</w:t>
      </w:r>
      <w:r w:rsidRPr="00C83362">
        <w:rPr>
          <w:rFonts w:ascii="Times New Roman" w:hAnsi="Times New Roman" w:cs="Times New Roman"/>
        </w:rPr>
        <w:t xml:space="preserve"> área de personal remita informe detallado fundament</w:t>
      </w:r>
      <w:r w:rsidR="007478E2">
        <w:rPr>
          <w:rFonts w:ascii="Times New Roman" w:hAnsi="Times New Roman" w:cs="Times New Roman"/>
        </w:rPr>
        <w:t>ando la no autorización de las d</w:t>
      </w:r>
      <w:r w:rsidRPr="00C83362">
        <w:rPr>
          <w:rFonts w:ascii="Times New Roman" w:hAnsi="Times New Roman" w:cs="Times New Roman"/>
        </w:rPr>
        <w:t xml:space="preserve">evoluciones de horas del personal </w:t>
      </w:r>
      <w:r w:rsidRPr="00C83362">
        <w:rPr>
          <w:rFonts w:ascii="Times New Roman" w:hAnsi="Times New Roman" w:cs="Times New Roman"/>
        </w:rPr>
        <w:lastRenderedPageBreak/>
        <w:t>municipal de acuerdo a Decreto 005/2024 D.M.T</w:t>
      </w:r>
      <w:r w:rsidR="007478E2">
        <w:rPr>
          <w:rFonts w:ascii="Times New Roman" w:hAnsi="Times New Roman" w:cs="Times New Roman"/>
        </w:rPr>
        <w:t>,</w:t>
      </w:r>
      <w:r w:rsidRPr="00C83362">
        <w:rPr>
          <w:rFonts w:ascii="Times New Roman" w:hAnsi="Times New Roman" w:cs="Times New Roman"/>
        </w:rPr>
        <w:t xml:space="preserve"> por el </w:t>
      </w:r>
      <w:proofErr w:type="spellStart"/>
      <w:r w:rsidRPr="00C83362">
        <w:rPr>
          <w:rFonts w:ascii="Times New Roman" w:hAnsi="Times New Roman" w:cs="Times New Roman"/>
        </w:rPr>
        <w:t>articulo</w:t>
      </w:r>
      <w:proofErr w:type="spellEnd"/>
      <w:r w:rsidRPr="00C83362">
        <w:rPr>
          <w:rFonts w:ascii="Times New Roman" w:hAnsi="Times New Roman" w:cs="Times New Roman"/>
        </w:rPr>
        <w:t xml:space="preserve"> 2</w:t>
      </w:r>
      <w:r w:rsidR="007478E2">
        <w:rPr>
          <w:rFonts w:ascii="Times New Roman" w:hAnsi="Times New Roman" w:cs="Times New Roman"/>
        </w:rPr>
        <w:t>,</w:t>
      </w:r>
      <w:r w:rsidRPr="00C83362">
        <w:rPr>
          <w:rFonts w:ascii="Times New Roman" w:hAnsi="Times New Roman" w:cs="Times New Roman"/>
        </w:rPr>
        <w:t xml:space="preserve"> según</w:t>
      </w:r>
      <w:r w:rsidR="00CD095C">
        <w:rPr>
          <w:rFonts w:ascii="Times New Roman" w:hAnsi="Times New Roman" w:cs="Times New Roman"/>
        </w:rPr>
        <w:t xml:space="preserve"> manifiesta Resolución emitida p</w:t>
      </w:r>
      <w:r w:rsidRPr="00C83362">
        <w:rPr>
          <w:rFonts w:ascii="Times New Roman" w:hAnsi="Times New Roman" w:cs="Times New Roman"/>
        </w:rPr>
        <w:t>or el encargado de personal.</w:t>
      </w:r>
    </w:p>
    <w:p w14:paraId="5059A79F" w14:textId="324746F5" w:rsidR="00C83362" w:rsidRPr="00CD095C" w:rsidRDefault="00C83362" w:rsidP="00C83362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D095C">
        <w:rPr>
          <w:rFonts w:ascii="Times New Roman" w:hAnsi="Times New Roman" w:cs="Times New Roman"/>
          <w:b/>
        </w:rPr>
        <w:t>ARTICULO 2:</w:t>
      </w:r>
      <w:r w:rsidRPr="00C83362">
        <w:rPr>
          <w:rFonts w:ascii="Times New Roman" w:hAnsi="Times New Roman" w:cs="Times New Roman"/>
        </w:rPr>
        <w:t xml:space="preserve"> Se solicita al </w:t>
      </w:r>
      <w:r w:rsidR="00CD095C">
        <w:rPr>
          <w:rFonts w:ascii="Times New Roman" w:hAnsi="Times New Roman" w:cs="Times New Roman"/>
        </w:rPr>
        <w:t>Ejecutivo remita a este Concejo</w:t>
      </w:r>
      <w:r w:rsidRPr="00C83362">
        <w:rPr>
          <w:rFonts w:ascii="Times New Roman" w:hAnsi="Times New Roman" w:cs="Times New Roman"/>
        </w:rPr>
        <w:t xml:space="preserve"> en el plazo de 72 </w:t>
      </w:r>
      <w:proofErr w:type="spellStart"/>
      <w:r w:rsidRPr="00C83362">
        <w:rPr>
          <w:rFonts w:ascii="Times New Roman" w:hAnsi="Times New Roman" w:cs="Times New Roman"/>
        </w:rPr>
        <w:t>hs</w:t>
      </w:r>
      <w:proofErr w:type="spellEnd"/>
      <w:r w:rsidR="00CD095C">
        <w:rPr>
          <w:rFonts w:ascii="Times New Roman" w:hAnsi="Times New Roman" w:cs="Times New Roman"/>
        </w:rPr>
        <w:t xml:space="preserve"> el </w:t>
      </w:r>
      <w:r w:rsidRPr="00C83362">
        <w:rPr>
          <w:rFonts w:ascii="Times New Roman" w:hAnsi="Times New Roman" w:cs="Times New Roman"/>
        </w:rPr>
        <w:t>inf</w:t>
      </w:r>
      <w:r w:rsidR="00CD095C">
        <w:rPr>
          <w:rFonts w:ascii="Times New Roman" w:hAnsi="Times New Roman" w:cs="Times New Roman"/>
        </w:rPr>
        <w:t>orme solicitado</w:t>
      </w:r>
      <w:r w:rsidRPr="00C83362">
        <w:rPr>
          <w:rFonts w:ascii="Times New Roman" w:hAnsi="Times New Roman" w:cs="Times New Roman"/>
        </w:rPr>
        <w:t xml:space="preserve">, de acuerdo al </w:t>
      </w:r>
      <w:r w:rsidR="00CD095C" w:rsidRPr="00C83362">
        <w:rPr>
          <w:rFonts w:ascii="Times New Roman" w:hAnsi="Times New Roman" w:cs="Times New Roman"/>
        </w:rPr>
        <w:t>Artículo</w:t>
      </w:r>
      <w:r w:rsidRPr="00C83362">
        <w:rPr>
          <w:rFonts w:ascii="Times New Roman" w:hAnsi="Times New Roman" w:cs="Times New Roman"/>
        </w:rPr>
        <w:t xml:space="preserve"> N</w:t>
      </w:r>
      <w:r w:rsidR="007478E2">
        <w:rPr>
          <w:rFonts w:ascii="Times New Roman" w:hAnsi="Times New Roman" w:cs="Times New Roman"/>
        </w:rPr>
        <w:t>°</w:t>
      </w:r>
      <w:bookmarkStart w:id="0" w:name="_GoBack"/>
      <w:bookmarkEnd w:id="0"/>
      <w:r w:rsidRPr="00C83362">
        <w:rPr>
          <w:rFonts w:ascii="Times New Roman" w:hAnsi="Times New Roman" w:cs="Times New Roman"/>
        </w:rPr>
        <w:t xml:space="preserve"> 122 Del Reglamento Interno que reza: </w:t>
      </w:r>
      <w:r w:rsidR="00CD095C">
        <w:rPr>
          <w:rFonts w:ascii="Times New Roman" w:hAnsi="Times New Roman" w:cs="Times New Roman"/>
        </w:rPr>
        <w:t>“…</w:t>
      </w:r>
      <w:r w:rsidR="00CD095C">
        <w:rPr>
          <w:rFonts w:ascii="Times New Roman" w:hAnsi="Times New Roman" w:cs="Times New Roman"/>
          <w:i/>
        </w:rPr>
        <w:t>T</w:t>
      </w:r>
      <w:r w:rsidR="00CD095C" w:rsidRPr="00CD095C">
        <w:rPr>
          <w:rFonts w:ascii="Times New Roman" w:hAnsi="Times New Roman" w:cs="Times New Roman"/>
          <w:i/>
        </w:rPr>
        <w:t>ambién se presentara en forma de minuta de comunicaci</w:t>
      </w:r>
      <w:r w:rsidR="00CD095C">
        <w:rPr>
          <w:rFonts w:ascii="Times New Roman" w:hAnsi="Times New Roman" w:cs="Times New Roman"/>
          <w:i/>
        </w:rPr>
        <w:t>ón, los pedidos de informes al Departamento E</w:t>
      </w:r>
      <w:r w:rsidR="00CD095C" w:rsidRPr="00CD095C">
        <w:rPr>
          <w:rFonts w:ascii="Times New Roman" w:hAnsi="Times New Roman" w:cs="Times New Roman"/>
          <w:i/>
        </w:rPr>
        <w:t>jecutivo, indicando expresamente el plazo dentro del cual debe contestar obligatoriamente.</w:t>
      </w:r>
    </w:p>
    <w:p w14:paraId="1A805C33" w14:textId="11EFC847" w:rsidR="00C83362" w:rsidRPr="00C83362" w:rsidRDefault="00C83362" w:rsidP="00C83362">
      <w:pPr>
        <w:spacing w:line="360" w:lineRule="auto"/>
        <w:jc w:val="both"/>
        <w:rPr>
          <w:rFonts w:ascii="Times New Roman" w:hAnsi="Times New Roman" w:cs="Times New Roman"/>
        </w:rPr>
      </w:pPr>
      <w:r w:rsidRPr="00CD095C">
        <w:rPr>
          <w:rFonts w:ascii="Times New Roman" w:hAnsi="Times New Roman" w:cs="Times New Roman"/>
          <w:b/>
        </w:rPr>
        <w:t>ARTICULO 3:</w:t>
      </w:r>
      <w:r w:rsidRPr="00C83362">
        <w:rPr>
          <w:rFonts w:ascii="Times New Roman" w:hAnsi="Times New Roman" w:cs="Times New Roman"/>
        </w:rPr>
        <w:t xml:space="preserve"> Se solicita al área de personal, </w:t>
      </w:r>
      <w:r w:rsidR="00CD095C">
        <w:rPr>
          <w:rFonts w:ascii="Times New Roman" w:hAnsi="Times New Roman" w:cs="Times New Roman"/>
        </w:rPr>
        <w:t xml:space="preserve">que </w:t>
      </w:r>
      <w:r w:rsidRPr="00C83362">
        <w:rPr>
          <w:rFonts w:ascii="Times New Roman" w:hAnsi="Times New Roman" w:cs="Times New Roman"/>
        </w:rPr>
        <w:t xml:space="preserve">mientras se responda el pedido </w:t>
      </w:r>
      <w:r w:rsidR="00CD095C">
        <w:rPr>
          <w:rFonts w:ascii="Times New Roman" w:hAnsi="Times New Roman" w:cs="Times New Roman"/>
        </w:rPr>
        <w:t xml:space="preserve">proceda a concretar </w:t>
      </w:r>
      <w:r w:rsidRPr="00C83362">
        <w:rPr>
          <w:rFonts w:ascii="Times New Roman" w:hAnsi="Times New Roman" w:cs="Times New Roman"/>
        </w:rPr>
        <w:t>las devoluciones de horas correspondientes a los empleados, hasta tanto fundamente y sostenga correctamente su argumento.</w:t>
      </w:r>
    </w:p>
    <w:p w14:paraId="495DD769" w14:textId="3CFD4B36" w:rsidR="00C83362" w:rsidRPr="00C83362" w:rsidRDefault="00CD095C" w:rsidP="00C8336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ARTICULO 4</w:t>
      </w:r>
      <w:r>
        <w:rPr>
          <w:rFonts w:ascii="Times New Roman" w:hAnsi="Times New Roman" w:cs="Times New Roman"/>
        </w:rPr>
        <w:t>: De forma y demás efectos.</w:t>
      </w:r>
    </w:p>
    <w:p w14:paraId="1881F150" w14:textId="2E131A4E" w:rsidR="00232CFE" w:rsidRPr="00C83362" w:rsidRDefault="008B0800" w:rsidP="00C83362">
      <w:pPr>
        <w:spacing w:line="360" w:lineRule="auto"/>
        <w:rPr>
          <w:rFonts w:ascii="Times New Roman" w:hAnsi="Times New Roman" w:cs="Times New Roman"/>
          <w:lang w:val="es-MX"/>
        </w:rPr>
      </w:pPr>
      <w:r w:rsidRPr="00C83362"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 w:rsidRPr="00C83362">
        <w:rPr>
          <w:rFonts w:ascii="Times New Roman" w:hAnsi="Times New Roman" w:cs="Times New Roman"/>
          <w:lang w:val="es-MX"/>
        </w:rPr>
        <w:t xml:space="preserve">         C</w:t>
      </w:r>
      <w:r w:rsidR="00452E9C" w:rsidRPr="00C83362">
        <w:rPr>
          <w:rFonts w:ascii="Times New Roman" w:hAnsi="Times New Roman" w:cs="Times New Roman"/>
          <w:lang w:val="es-MX"/>
        </w:rPr>
        <w:t>o</w:t>
      </w:r>
      <w:r w:rsidR="00CD095C">
        <w:rPr>
          <w:rFonts w:ascii="Times New Roman" w:hAnsi="Times New Roman" w:cs="Times New Roman"/>
          <w:lang w:val="es-MX"/>
        </w:rPr>
        <w:t>ncejo Deliberante de Tilcara, 09</w:t>
      </w:r>
      <w:r w:rsidR="00583346" w:rsidRPr="00C83362">
        <w:rPr>
          <w:rFonts w:ascii="Times New Roman" w:hAnsi="Times New Roman" w:cs="Times New Roman"/>
          <w:lang w:val="es-MX"/>
        </w:rPr>
        <w:t xml:space="preserve"> de octubre </w:t>
      </w:r>
      <w:r w:rsidR="00452E9C" w:rsidRPr="00C83362">
        <w:rPr>
          <w:rFonts w:ascii="Times New Roman" w:hAnsi="Times New Roman" w:cs="Times New Roman"/>
          <w:lang w:val="es-MX"/>
        </w:rPr>
        <w:t>de 2024.</w:t>
      </w:r>
    </w:p>
    <w:sectPr w:rsidR="00232CFE" w:rsidRPr="00C8336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9925" w14:textId="77777777" w:rsidR="009319D9" w:rsidRDefault="009319D9" w:rsidP="00A90E61">
      <w:pPr>
        <w:spacing w:after="0" w:line="240" w:lineRule="auto"/>
      </w:pPr>
      <w:r>
        <w:separator/>
      </w:r>
    </w:p>
  </w:endnote>
  <w:endnote w:type="continuationSeparator" w:id="0">
    <w:p w14:paraId="427CC634" w14:textId="77777777" w:rsidR="009319D9" w:rsidRDefault="009319D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51D2B" w14:textId="77777777" w:rsidR="009319D9" w:rsidRDefault="009319D9" w:rsidP="00A90E61">
      <w:pPr>
        <w:spacing w:after="0" w:line="240" w:lineRule="auto"/>
      </w:pPr>
      <w:r>
        <w:separator/>
      </w:r>
    </w:p>
  </w:footnote>
  <w:footnote w:type="continuationSeparator" w:id="0">
    <w:p w14:paraId="1B4DBE89" w14:textId="77777777" w:rsidR="009319D9" w:rsidRDefault="009319D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2C81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D3FA8"/>
    <w:rsid w:val="0023026C"/>
    <w:rsid w:val="0023184E"/>
    <w:rsid w:val="00232CFE"/>
    <w:rsid w:val="002366A1"/>
    <w:rsid w:val="00247796"/>
    <w:rsid w:val="00247CD2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D465E"/>
    <w:rsid w:val="004E3982"/>
    <w:rsid w:val="004E5996"/>
    <w:rsid w:val="004F2E55"/>
    <w:rsid w:val="004F41C1"/>
    <w:rsid w:val="004F510C"/>
    <w:rsid w:val="005049FB"/>
    <w:rsid w:val="00511CDF"/>
    <w:rsid w:val="00513305"/>
    <w:rsid w:val="0053289D"/>
    <w:rsid w:val="00535340"/>
    <w:rsid w:val="00543756"/>
    <w:rsid w:val="00545192"/>
    <w:rsid w:val="0056047D"/>
    <w:rsid w:val="005666E5"/>
    <w:rsid w:val="00567671"/>
    <w:rsid w:val="005751FB"/>
    <w:rsid w:val="00580767"/>
    <w:rsid w:val="00583346"/>
    <w:rsid w:val="00585008"/>
    <w:rsid w:val="00587C5B"/>
    <w:rsid w:val="0059120B"/>
    <w:rsid w:val="00591EC6"/>
    <w:rsid w:val="0059449F"/>
    <w:rsid w:val="005975EC"/>
    <w:rsid w:val="005A3946"/>
    <w:rsid w:val="005A666D"/>
    <w:rsid w:val="005B78E1"/>
    <w:rsid w:val="005C0B35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478E2"/>
    <w:rsid w:val="007547B5"/>
    <w:rsid w:val="0075750F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025"/>
    <w:rsid w:val="00912A26"/>
    <w:rsid w:val="00921EDF"/>
    <w:rsid w:val="009319D9"/>
    <w:rsid w:val="00935B4B"/>
    <w:rsid w:val="00941D51"/>
    <w:rsid w:val="00942C3D"/>
    <w:rsid w:val="00947629"/>
    <w:rsid w:val="00965A04"/>
    <w:rsid w:val="0099648E"/>
    <w:rsid w:val="009A131C"/>
    <w:rsid w:val="009C0105"/>
    <w:rsid w:val="009C0DBA"/>
    <w:rsid w:val="009C7422"/>
    <w:rsid w:val="009D3083"/>
    <w:rsid w:val="009F1961"/>
    <w:rsid w:val="009F59F0"/>
    <w:rsid w:val="00A02D39"/>
    <w:rsid w:val="00A03967"/>
    <w:rsid w:val="00A102FA"/>
    <w:rsid w:val="00A122EA"/>
    <w:rsid w:val="00A15E81"/>
    <w:rsid w:val="00A212F8"/>
    <w:rsid w:val="00A26063"/>
    <w:rsid w:val="00A30598"/>
    <w:rsid w:val="00A52993"/>
    <w:rsid w:val="00A52F01"/>
    <w:rsid w:val="00A530FE"/>
    <w:rsid w:val="00A61525"/>
    <w:rsid w:val="00A64984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36939"/>
    <w:rsid w:val="00B64618"/>
    <w:rsid w:val="00B67C19"/>
    <w:rsid w:val="00B71992"/>
    <w:rsid w:val="00B80833"/>
    <w:rsid w:val="00B80BAE"/>
    <w:rsid w:val="00B93B80"/>
    <w:rsid w:val="00BA1FA4"/>
    <w:rsid w:val="00BA4BAD"/>
    <w:rsid w:val="00BC3642"/>
    <w:rsid w:val="00BE62B2"/>
    <w:rsid w:val="00BE7852"/>
    <w:rsid w:val="00C03FED"/>
    <w:rsid w:val="00C042E6"/>
    <w:rsid w:val="00C11310"/>
    <w:rsid w:val="00C12C75"/>
    <w:rsid w:val="00C17B80"/>
    <w:rsid w:val="00C24517"/>
    <w:rsid w:val="00C417B7"/>
    <w:rsid w:val="00C4782B"/>
    <w:rsid w:val="00C613D6"/>
    <w:rsid w:val="00C641D3"/>
    <w:rsid w:val="00C66E44"/>
    <w:rsid w:val="00C770FC"/>
    <w:rsid w:val="00C83362"/>
    <w:rsid w:val="00C8570C"/>
    <w:rsid w:val="00C908F1"/>
    <w:rsid w:val="00C92E07"/>
    <w:rsid w:val="00CB5D9D"/>
    <w:rsid w:val="00CB5E80"/>
    <w:rsid w:val="00CC3C27"/>
    <w:rsid w:val="00CC6C74"/>
    <w:rsid w:val="00CC7333"/>
    <w:rsid w:val="00CC7DE0"/>
    <w:rsid w:val="00CD095C"/>
    <w:rsid w:val="00CF4D4D"/>
    <w:rsid w:val="00CF65D7"/>
    <w:rsid w:val="00D11A85"/>
    <w:rsid w:val="00D2178A"/>
    <w:rsid w:val="00D22D91"/>
    <w:rsid w:val="00D23C92"/>
    <w:rsid w:val="00D32FB2"/>
    <w:rsid w:val="00D41F29"/>
    <w:rsid w:val="00D5470E"/>
    <w:rsid w:val="00D56E37"/>
    <w:rsid w:val="00D666A8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F2"/>
    <w:rsid w:val="00DC345E"/>
    <w:rsid w:val="00DC6BEC"/>
    <w:rsid w:val="00DD0346"/>
    <w:rsid w:val="00DD43F1"/>
    <w:rsid w:val="00DD465C"/>
    <w:rsid w:val="00DD797C"/>
    <w:rsid w:val="00DE1BF5"/>
    <w:rsid w:val="00E45A19"/>
    <w:rsid w:val="00E757E3"/>
    <w:rsid w:val="00E811F5"/>
    <w:rsid w:val="00E854D0"/>
    <w:rsid w:val="00E91CDD"/>
    <w:rsid w:val="00E93160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5CCC"/>
    <w:rsid w:val="00F461B7"/>
    <w:rsid w:val="00F56737"/>
    <w:rsid w:val="00F65915"/>
    <w:rsid w:val="00F87143"/>
    <w:rsid w:val="00F97B3C"/>
    <w:rsid w:val="00FB4ABD"/>
    <w:rsid w:val="00FD0E80"/>
    <w:rsid w:val="00FD2A94"/>
    <w:rsid w:val="00FD41F2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5DB3-4B74-4338-8D36-D646E79C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277</cp:revision>
  <cp:lastPrinted>2024-08-16T14:18:00Z</cp:lastPrinted>
  <dcterms:created xsi:type="dcterms:W3CDTF">2024-06-02T14:57:00Z</dcterms:created>
  <dcterms:modified xsi:type="dcterms:W3CDTF">2024-10-10T02:03:00Z</dcterms:modified>
</cp:coreProperties>
</file>