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AE1F" w14:textId="77777777" w:rsidR="00C70063" w:rsidRPr="00C70063" w:rsidRDefault="00C70063" w:rsidP="00C70063">
      <w:pPr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  <w:r w:rsidRPr="00C70063">
        <w:rPr>
          <w:rFonts w:ascii="Calibri" w:eastAsia="Calibri" w:hAnsi="Calibri" w:cs="Times New Roman"/>
          <w:sz w:val="22"/>
          <w:szCs w:val="22"/>
        </w:rPr>
        <w:t xml:space="preserve">                                   </w:t>
      </w:r>
      <w:r w:rsidRPr="00C70063"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  <w:t xml:space="preserve">MINUTAS DE DECLARACION </w:t>
      </w:r>
      <w:proofErr w:type="spellStart"/>
      <w:r w:rsidRPr="00C70063"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  <w:t>N°</w:t>
      </w:r>
      <w:proofErr w:type="spellEnd"/>
      <w:r w:rsidRPr="00C70063"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  <w:t xml:space="preserve"> 20/2024-C.D.T. </w:t>
      </w:r>
    </w:p>
    <w:p w14:paraId="09ABD6E6" w14:textId="77777777" w:rsidR="00C70063" w:rsidRPr="00C70063" w:rsidRDefault="00C70063" w:rsidP="00C70063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(Ref.: Declarar de Interés Cultural y Educación al Encuentro “Maestro del Asado”)  </w:t>
      </w:r>
    </w:p>
    <w:p w14:paraId="205FDDF1" w14:textId="77777777" w:rsidR="00C70063" w:rsidRPr="00C70063" w:rsidRDefault="00C70063" w:rsidP="00C70063">
      <w:pPr>
        <w:rPr>
          <w:rFonts w:ascii="Calibri" w:eastAsia="Calibri" w:hAnsi="Calibri" w:cs="Times New Roman"/>
          <w:sz w:val="22"/>
          <w:szCs w:val="22"/>
        </w:rPr>
      </w:pPr>
    </w:p>
    <w:p w14:paraId="18D23CB9" w14:textId="77777777" w:rsidR="00C70063" w:rsidRPr="00C70063" w:rsidRDefault="00C70063" w:rsidP="00C70063">
      <w:pPr>
        <w:rPr>
          <w:rFonts w:ascii="Calibri" w:eastAsia="Calibri" w:hAnsi="Calibri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VISTO</w:t>
      </w:r>
      <w:r w:rsidRPr="00C70063">
        <w:rPr>
          <w:rFonts w:ascii="Calibri" w:eastAsia="Calibri" w:hAnsi="Calibri" w:cs="Times New Roman"/>
          <w:sz w:val="22"/>
          <w:szCs w:val="22"/>
        </w:rPr>
        <w:t>:</w:t>
      </w:r>
    </w:p>
    <w:p w14:paraId="54703456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Las facultades que confiere la Ley Orgánica de los municipios </w:t>
      </w:r>
      <w:proofErr w:type="spellStart"/>
      <w:r w:rsidRPr="00C70063">
        <w:rPr>
          <w:rFonts w:ascii="Times New Roman" w:eastAsia="Calibri" w:hAnsi="Times New Roman" w:cs="Times New Roman"/>
          <w:sz w:val="22"/>
          <w:szCs w:val="22"/>
        </w:rPr>
        <w:t>N°</w:t>
      </w:r>
      <w:proofErr w:type="spellEnd"/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4466/89 como así también los expresados en el Reglamento Interno del Consejo Deliberante. </w:t>
      </w:r>
    </w:p>
    <w:p w14:paraId="6F94AABF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El folio </w:t>
      </w:r>
      <w:proofErr w:type="spellStart"/>
      <w:r w:rsidRPr="00C70063">
        <w:rPr>
          <w:rFonts w:ascii="Times New Roman" w:eastAsia="Calibri" w:hAnsi="Times New Roman" w:cs="Times New Roman"/>
          <w:sz w:val="22"/>
          <w:szCs w:val="22"/>
        </w:rPr>
        <w:t>N°</w:t>
      </w:r>
      <w:proofErr w:type="spellEnd"/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109/24 presentado por el Sr. Eduardo Escobar en calidad de coordinador de la Red Cocinero Popular</w:t>
      </w:r>
    </w:p>
    <w:p w14:paraId="3567439E" w14:textId="77777777" w:rsidR="00C70063" w:rsidRPr="00C70063" w:rsidRDefault="00C70063" w:rsidP="00C70063">
      <w:pPr>
        <w:rPr>
          <w:rFonts w:ascii="Calibri" w:eastAsia="Calibri" w:hAnsi="Calibri" w:cs="Times New Roman"/>
          <w:sz w:val="22"/>
          <w:szCs w:val="22"/>
        </w:rPr>
      </w:pPr>
    </w:p>
    <w:p w14:paraId="5599E355" w14:textId="77777777" w:rsidR="00C70063" w:rsidRPr="00C70063" w:rsidRDefault="00C70063" w:rsidP="00C70063">
      <w:pPr>
        <w:rPr>
          <w:rFonts w:ascii="Calibri" w:eastAsia="Calibri" w:hAnsi="Calibri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CONSIDERANDO</w:t>
      </w:r>
      <w:r w:rsidRPr="00C70063">
        <w:rPr>
          <w:rFonts w:ascii="Calibri" w:eastAsia="Calibri" w:hAnsi="Calibri" w:cs="Times New Roman"/>
          <w:sz w:val="22"/>
          <w:szCs w:val="22"/>
        </w:rPr>
        <w:t xml:space="preserve">: </w:t>
      </w:r>
    </w:p>
    <w:p w14:paraId="0BB3130B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Que la Red de Cocinero y Cocinero Populares de Tilcara viene desarrollando actividades y eventos que enaltecen la gastronomía regional afianzando su esencia. </w:t>
      </w:r>
    </w:p>
    <w:p w14:paraId="6FEE3455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Que las acciones que lleva a delante convoca a referentes regionales, nacionales e internacionales para dar a conocer sobres académicas y populares de la Quebrada, de otras regiones y otros países. </w:t>
      </w:r>
    </w:p>
    <w:p w14:paraId="205A8895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  Que poner en valor los saberes de quienes trabajan por cultivar las tradiciones del saber popular enriquece el patrimonio cultural de los pueblos fortaleciendo la identidad y la riqueza de sus conocimientos.</w:t>
      </w:r>
    </w:p>
    <w:p w14:paraId="4C367E97" w14:textId="3DB82FB1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    Que es importante el acompañamiento a quienes trabajan en el fortalecimiento de estos saberes reconocido </w:t>
      </w:r>
      <w:r w:rsidRPr="00C70063">
        <w:rPr>
          <w:rFonts w:ascii="Times New Roman" w:eastAsia="Calibri" w:hAnsi="Times New Roman" w:cs="Times New Roman"/>
          <w:sz w:val="22"/>
          <w:szCs w:val="22"/>
        </w:rPr>
        <w:t>su trayectoria</w:t>
      </w: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, valorando sus conocimientos y destacado el trabajo que realizan para lograr esta riqueza a </w:t>
      </w:r>
      <w:r w:rsidRPr="00C70063">
        <w:rPr>
          <w:rFonts w:ascii="Times New Roman" w:eastAsia="Calibri" w:hAnsi="Times New Roman" w:cs="Times New Roman"/>
          <w:sz w:val="22"/>
          <w:szCs w:val="22"/>
        </w:rPr>
        <w:t>las nuevas generaciones</w:t>
      </w: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p w14:paraId="61A3451D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     Que la gastronomía de una comunidad, de alguna manera, es el relato de la historia de una población y es un modo de expresión profundo de la esencia cultural. </w:t>
      </w:r>
    </w:p>
    <w:p w14:paraId="4F9F56B4" w14:textId="11F09544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    Que el encuentro </w:t>
      </w:r>
      <w:r w:rsidRPr="00C70063">
        <w:rPr>
          <w:rFonts w:ascii="Times New Roman" w:eastAsia="Calibri" w:hAnsi="Times New Roman" w:cs="Times New Roman"/>
          <w:sz w:val="22"/>
          <w:szCs w:val="22"/>
        </w:rPr>
        <w:t>“Maestro</w:t>
      </w: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del asado” contribuye al fortalecimiento de los servicios turísticos que se ofrecen en Tilcara en un fin de semana especial. </w:t>
      </w:r>
    </w:p>
    <w:p w14:paraId="2ECE2A2F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    Que el cuerpo legislativo de Tilcara reconoce y valora las diferentes actividades que lleva adelante la Red de Cocinero Populares </w:t>
      </w:r>
    </w:p>
    <w:p w14:paraId="36350B0A" w14:textId="77777777" w:rsidR="00C70063" w:rsidRPr="00C70063" w:rsidRDefault="00C70063" w:rsidP="00C70063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                                                             POR TODO ELLOS: </w:t>
      </w:r>
    </w:p>
    <w:p w14:paraId="2BF560CA" w14:textId="51D3A91C" w:rsidR="00C70063" w:rsidRPr="00C70063" w:rsidRDefault="00C70063" w:rsidP="00C70063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EL HONORABLE</w:t>
      </w: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CONCEJO DELIBERANTE DE LA CIUDAD DE TILCARA, EN USO DE LAS ATRIBUCIONES QUE LE CONFIERE A LA LEY ORGANICA DE LOS </w:t>
      </w:r>
      <w:proofErr w:type="gramStart"/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MUNICIPIO  </w:t>
      </w:r>
      <w:proofErr w:type="spellStart"/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N</w:t>
      </w:r>
      <w:proofErr w:type="gramEnd"/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°</w:t>
      </w:r>
      <w:proofErr w:type="spellEnd"/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4499/89 SANCIONA LA MINUTAS DE DECLARACION </w:t>
      </w:r>
      <w:proofErr w:type="spellStart"/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N°</w:t>
      </w:r>
      <w:proofErr w:type="spellEnd"/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20/2024 </w:t>
      </w:r>
    </w:p>
    <w:p w14:paraId="7F8EFD45" w14:textId="77777777" w:rsidR="00C70063" w:rsidRPr="00C70063" w:rsidRDefault="00C70063" w:rsidP="00C70063">
      <w:pPr>
        <w:rPr>
          <w:rFonts w:ascii="Calibri" w:eastAsia="Calibri" w:hAnsi="Calibri" w:cs="Times New Roman"/>
          <w:sz w:val="22"/>
          <w:szCs w:val="22"/>
        </w:rPr>
      </w:pPr>
    </w:p>
    <w:p w14:paraId="2B9742BE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ARTICULO 1:</w:t>
      </w:r>
      <w:r w:rsidRPr="00C70063">
        <w:rPr>
          <w:rFonts w:ascii="Calibri" w:eastAsia="Calibri" w:hAnsi="Calibri" w:cs="Times New Roman"/>
          <w:sz w:val="22"/>
          <w:szCs w:val="22"/>
        </w:rPr>
        <w:t xml:space="preserve">  </w:t>
      </w: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Declárese de Interés cultural y educativa al Encuentro “Maestros del Asado” que se realizara los días 11 y 12 de octubre de 2024 en la ciudad de Tilcara. </w:t>
      </w:r>
    </w:p>
    <w:p w14:paraId="64E84478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ARTICULO 2:</w:t>
      </w:r>
      <w:r w:rsidRPr="00C70063">
        <w:rPr>
          <w:rFonts w:ascii="Calibri" w:eastAsia="Calibri" w:hAnsi="Calibri" w:cs="Times New Roman"/>
          <w:sz w:val="22"/>
          <w:szCs w:val="22"/>
        </w:rPr>
        <w:t xml:space="preserve">  </w:t>
      </w: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El consejo deliberante de la ciudad de Tilcara hará la entrega de la presente minuta de declaración y Referente de la Red de cocinero y cocinera poniendo de manifiesto el valor educativo y cultural de estos eventos. </w:t>
      </w:r>
    </w:p>
    <w:p w14:paraId="3D979A71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lastRenderedPageBreak/>
        <w:t>ARTICULO 3:</w:t>
      </w:r>
      <w:r w:rsidRPr="00C70063">
        <w:rPr>
          <w:rFonts w:ascii="Calibri" w:eastAsia="Calibri" w:hAnsi="Calibri" w:cs="Times New Roman"/>
          <w:sz w:val="22"/>
          <w:szCs w:val="22"/>
        </w:rPr>
        <w:t xml:space="preserve"> </w:t>
      </w: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La presente Minuta de Declaración es el instrumento legislativo que reconoce también la participación de todas las personas que contribuyen a enriquecen los saberes académicos y populares. </w:t>
      </w:r>
    </w:p>
    <w:p w14:paraId="7C0CBBA3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b/>
          <w:bCs/>
          <w:sz w:val="22"/>
          <w:szCs w:val="22"/>
        </w:rPr>
        <w:t>ARTICULO 4</w:t>
      </w:r>
      <w:r w:rsidRPr="00C70063">
        <w:rPr>
          <w:rFonts w:ascii="Calibri" w:eastAsia="Calibri" w:hAnsi="Calibri" w:cs="Times New Roman"/>
          <w:sz w:val="22"/>
          <w:szCs w:val="22"/>
        </w:rPr>
        <w:t xml:space="preserve">: </w:t>
      </w: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De forma y demás efectos </w:t>
      </w:r>
    </w:p>
    <w:p w14:paraId="0F874D36" w14:textId="77777777" w:rsidR="00C70063" w:rsidRPr="00C70063" w:rsidRDefault="00C70063" w:rsidP="00C70063">
      <w:pPr>
        <w:rPr>
          <w:rFonts w:ascii="Times New Roman" w:eastAsia="Calibri" w:hAnsi="Times New Roman" w:cs="Times New Roman"/>
          <w:sz w:val="22"/>
          <w:szCs w:val="22"/>
        </w:rPr>
      </w:pPr>
      <w:r w:rsidRPr="00C70063"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Consejo Deliberante de Tilcara, 10 de octubre de 2024        </w:t>
      </w:r>
    </w:p>
    <w:p w14:paraId="54A9C0CC" w14:textId="77777777" w:rsidR="00C70063" w:rsidRPr="00C70063" w:rsidRDefault="00C70063" w:rsidP="00C70063">
      <w:pPr>
        <w:rPr>
          <w:rFonts w:ascii="Calibri" w:eastAsia="Calibri" w:hAnsi="Calibri" w:cs="Times New Roman"/>
          <w:sz w:val="22"/>
          <w:szCs w:val="22"/>
        </w:rPr>
      </w:pPr>
    </w:p>
    <w:p w14:paraId="0F562416" w14:textId="77777777" w:rsidR="00C70063" w:rsidRPr="00C70063" w:rsidRDefault="00C70063" w:rsidP="00C70063">
      <w:pPr>
        <w:rPr>
          <w:rFonts w:ascii="Calibri" w:eastAsia="Calibri" w:hAnsi="Calibri" w:cs="Times New Roman"/>
          <w:sz w:val="22"/>
          <w:szCs w:val="22"/>
        </w:rPr>
      </w:pPr>
      <w:r w:rsidRPr="00C70063">
        <w:rPr>
          <w:rFonts w:ascii="Calibri" w:eastAsia="Calibri" w:hAnsi="Calibri" w:cs="Times New Roman"/>
          <w:sz w:val="22"/>
          <w:szCs w:val="22"/>
        </w:rPr>
        <w:t xml:space="preserve">   </w:t>
      </w:r>
    </w:p>
    <w:p w14:paraId="0911C265" w14:textId="77777777" w:rsidR="00A0384B" w:rsidRPr="0095395E" w:rsidRDefault="00A0384B" w:rsidP="0095395E"/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7745" w14:textId="77777777" w:rsidR="009E3657" w:rsidRDefault="009E3657" w:rsidP="00A90E61">
      <w:pPr>
        <w:spacing w:after="0" w:line="240" w:lineRule="auto"/>
      </w:pPr>
      <w:r>
        <w:separator/>
      </w:r>
    </w:p>
  </w:endnote>
  <w:endnote w:type="continuationSeparator" w:id="0">
    <w:p w14:paraId="4A59CBDC" w14:textId="77777777" w:rsidR="009E3657" w:rsidRDefault="009E3657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CC81" w14:textId="77777777" w:rsidR="009E3657" w:rsidRDefault="009E3657" w:rsidP="00A90E61">
      <w:pPr>
        <w:spacing w:after="0" w:line="240" w:lineRule="auto"/>
      </w:pPr>
      <w:r>
        <w:separator/>
      </w:r>
    </w:p>
  </w:footnote>
  <w:footnote w:type="continuationSeparator" w:id="0">
    <w:p w14:paraId="45661B08" w14:textId="77777777" w:rsidR="009E3657" w:rsidRDefault="009E3657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4475" w14:textId="77777777"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7644921D" wp14:editId="3FA655ED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6B3B3472" wp14:editId="5957E0F7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14:paraId="374BFE84" w14:textId="77777777"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796FE8C3" w14:textId="77777777"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14:paraId="554186BC" w14:textId="77777777"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 xml:space="preserve">“2025- Año del décimo aniversario del reconocimiento de la Bandera Nacional de la Libertad Civil como símbolo Patrio </w:t>
    </w:r>
    <w:proofErr w:type="spellStart"/>
    <w:proofErr w:type="gramStart"/>
    <w:r w:rsidRPr="00E160C9">
      <w:rPr>
        <w:b/>
        <w:sz w:val="18"/>
        <w:szCs w:val="18"/>
      </w:rPr>
      <w:t>Hist</w:t>
    </w:r>
    <w:r w:rsidR="00E160C9">
      <w:rPr>
        <w:b/>
        <w:sz w:val="18"/>
        <w:szCs w:val="18"/>
      </w:rPr>
      <w:t>orico</w:t>
    </w:r>
    <w:proofErr w:type="spellEnd"/>
    <w:r w:rsidR="00E160C9">
      <w:rPr>
        <w:b/>
        <w:sz w:val="18"/>
        <w:szCs w:val="18"/>
      </w:rPr>
      <w:t>”</w:t>
    </w:r>
    <w:r w:rsidR="004070C0" w:rsidRPr="00D86D36">
      <w:rPr>
        <w:rFonts w:cs="Times New Roman"/>
        <w:b/>
        <w:sz w:val="16"/>
        <w:szCs w:val="16"/>
      </w:rPr>
      <w:t xml:space="preserve">   </w:t>
    </w:r>
    <w:proofErr w:type="gramEnd"/>
    <w:r w:rsidR="004070C0" w:rsidRPr="00D86D36">
      <w:rPr>
        <w:rFonts w:cs="Times New Roman"/>
        <w:b/>
        <w:sz w:val="16"/>
        <w:szCs w:val="16"/>
      </w:rPr>
      <w:t xml:space="preserve">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63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1BCB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E3657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25C5"/>
    <w:rsid w:val="00A90E61"/>
    <w:rsid w:val="00A93DE0"/>
    <w:rsid w:val="00A95FAA"/>
    <w:rsid w:val="00AB72FC"/>
    <w:rsid w:val="00AB79C5"/>
    <w:rsid w:val="00AB79D7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7006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D9A5"/>
  <w15:docId w15:val="{6E753404-4ACC-457B-92D7-EC680C1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e\OneDrive\Documento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C1C1-F78C-4F58-A23C-C6B6AB7A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3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Parlamentaria</dc:creator>
  <cp:lastModifiedBy>Secretaria Parlamentaria</cp:lastModifiedBy>
  <cp:revision>1</cp:revision>
  <cp:lastPrinted>2025-05-27T15:08:00Z</cp:lastPrinted>
  <dcterms:created xsi:type="dcterms:W3CDTF">2025-09-08T20:42:00Z</dcterms:created>
  <dcterms:modified xsi:type="dcterms:W3CDTF">2025-09-08T20:45:00Z</dcterms:modified>
</cp:coreProperties>
</file>